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5A5E2D6" w14:textId="77777777" w:rsidR="00B25AD0" w:rsidRDefault="008C3CF6">
      <w:pPr>
        <w:spacing w:line="480" w:lineRule="auto"/>
        <w:jc w:val="both"/>
        <w:rPr>
          <w:b/>
          <w:sz w:val="24"/>
          <w:szCs w:val="24"/>
          <w:highlight w:val="white"/>
        </w:rPr>
      </w:pPr>
      <w:bookmarkStart w:id="0" w:name="_GoBack"/>
      <w:bookmarkEnd w:id="0"/>
      <w:r>
        <w:rPr>
          <w:b/>
          <w:sz w:val="24"/>
          <w:szCs w:val="24"/>
          <w:highlight w:val="white"/>
        </w:rPr>
        <w:t>Factores que precipitan el delirio en pacientes adultos mayores en Unidades de Cuidados Intensivos. Revisión narrativa.</w:t>
      </w:r>
    </w:p>
    <w:p w14:paraId="17FBF925" w14:textId="77777777" w:rsidR="00B25AD0" w:rsidRDefault="008C3CF6">
      <w:pPr>
        <w:spacing w:line="480" w:lineRule="auto"/>
        <w:jc w:val="both"/>
        <w:rPr>
          <w:b/>
          <w:sz w:val="24"/>
          <w:szCs w:val="24"/>
          <w:highlight w:val="white"/>
        </w:rPr>
      </w:pPr>
      <w:r>
        <w:rPr>
          <w:b/>
          <w:sz w:val="24"/>
          <w:szCs w:val="24"/>
          <w:highlight w:val="white"/>
        </w:rPr>
        <w:t>Factors that precipitate delirium in elderly patients in Intensive Care Units. A narrative review.</w:t>
      </w:r>
    </w:p>
    <w:p w14:paraId="3891CC45" w14:textId="77777777" w:rsidR="00B25AD0" w:rsidRDefault="008C3CF6">
      <w:pPr>
        <w:spacing w:line="480" w:lineRule="auto"/>
        <w:jc w:val="both"/>
        <w:rPr>
          <w:b/>
          <w:sz w:val="24"/>
          <w:szCs w:val="24"/>
        </w:rPr>
      </w:pPr>
      <w:r>
        <w:rPr>
          <w:b/>
          <w:sz w:val="24"/>
          <w:szCs w:val="24"/>
          <w:highlight w:val="white"/>
        </w:rPr>
        <w:t xml:space="preserve">Fatores que precipitam o delirium em idosos em Unidades de Terapia Intensiva. Uma </w:t>
      </w:r>
      <w:hyperlink r:id="rId7">
        <w:r>
          <w:rPr>
            <w:b/>
            <w:sz w:val="24"/>
            <w:szCs w:val="24"/>
            <w:highlight w:val="white"/>
          </w:rPr>
          <w:t>revisão</w:t>
        </w:r>
      </w:hyperlink>
      <w:r>
        <w:rPr>
          <w:b/>
          <w:sz w:val="24"/>
          <w:szCs w:val="24"/>
          <w:highlight w:val="white"/>
        </w:rPr>
        <w:t xml:space="preserve"> narrativa.</w:t>
      </w:r>
    </w:p>
    <w:p w14:paraId="4C564603" w14:textId="77777777" w:rsidR="00B25AD0" w:rsidRDefault="008C3CF6">
      <w:pPr>
        <w:spacing w:line="480" w:lineRule="auto"/>
        <w:jc w:val="both"/>
        <w:rPr>
          <w:sz w:val="24"/>
          <w:szCs w:val="24"/>
        </w:rPr>
      </w:pPr>
      <w:r>
        <w:rPr>
          <w:sz w:val="24"/>
          <w:szCs w:val="24"/>
        </w:rPr>
        <w:t>I. Jaime-Celedón</w:t>
      </w:r>
      <w:r>
        <w:rPr>
          <w:sz w:val="24"/>
          <w:szCs w:val="24"/>
          <w:vertAlign w:val="superscript"/>
        </w:rPr>
        <w:t>a*</w:t>
      </w:r>
      <w:r>
        <w:rPr>
          <w:sz w:val="24"/>
          <w:szCs w:val="24"/>
        </w:rPr>
        <w:t>, S. Apablaza-Poblete</w:t>
      </w:r>
      <w:r>
        <w:rPr>
          <w:sz w:val="24"/>
          <w:szCs w:val="24"/>
          <w:vertAlign w:val="superscript"/>
        </w:rPr>
        <w:t>b</w:t>
      </w:r>
      <w:r>
        <w:rPr>
          <w:sz w:val="24"/>
          <w:szCs w:val="24"/>
        </w:rPr>
        <w:t>, V. Becerra-Hidalgo</w:t>
      </w:r>
      <w:r>
        <w:rPr>
          <w:sz w:val="24"/>
          <w:szCs w:val="24"/>
          <w:vertAlign w:val="superscript"/>
        </w:rPr>
        <w:t>c</w:t>
      </w:r>
      <w:r>
        <w:rPr>
          <w:sz w:val="24"/>
          <w:szCs w:val="24"/>
        </w:rPr>
        <w:t>, M. Delgado-Lazcano</w:t>
      </w:r>
      <w:r>
        <w:rPr>
          <w:sz w:val="24"/>
          <w:szCs w:val="24"/>
          <w:vertAlign w:val="superscript"/>
        </w:rPr>
        <w:t>d</w:t>
      </w:r>
      <w:r>
        <w:rPr>
          <w:sz w:val="24"/>
          <w:szCs w:val="24"/>
        </w:rPr>
        <w:t>, C. Sour-Traslaviña</w:t>
      </w:r>
      <w:r>
        <w:rPr>
          <w:sz w:val="24"/>
          <w:szCs w:val="24"/>
          <w:vertAlign w:val="superscript"/>
        </w:rPr>
        <w:t>e</w:t>
      </w:r>
      <w:r>
        <w:rPr>
          <w:sz w:val="24"/>
          <w:szCs w:val="24"/>
        </w:rPr>
        <w:t>, A. Zamora-Garrido</w:t>
      </w:r>
      <w:r>
        <w:rPr>
          <w:sz w:val="24"/>
          <w:szCs w:val="24"/>
          <w:vertAlign w:val="superscript"/>
        </w:rPr>
        <w:t>f</w:t>
      </w:r>
      <w:r>
        <w:rPr>
          <w:sz w:val="24"/>
          <w:szCs w:val="24"/>
        </w:rPr>
        <w:t>.</w:t>
      </w:r>
    </w:p>
    <w:p w14:paraId="24C8BDDA" w14:textId="77777777" w:rsidR="00B25AD0" w:rsidRDefault="008C3CF6">
      <w:pPr>
        <w:spacing w:line="480" w:lineRule="auto"/>
        <w:jc w:val="both"/>
        <w:rPr>
          <w:sz w:val="24"/>
          <w:szCs w:val="24"/>
        </w:rPr>
      </w:pPr>
      <w:r>
        <w:rPr>
          <w:sz w:val="24"/>
          <w:szCs w:val="24"/>
        </w:rPr>
        <w:t>Universidad de Valparaíso, Escuela de Enfermería, San Felipe, Chile.</w:t>
      </w:r>
    </w:p>
    <w:p w14:paraId="44282917" w14:textId="77777777" w:rsidR="00B25AD0" w:rsidRDefault="008C3CF6">
      <w:pPr>
        <w:spacing w:line="480" w:lineRule="auto"/>
        <w:jc w:val="both"/>
        <w:rPr>
          <w:sz w:val="24"/>
          <w:szCs w:val="24"/>
          <w:vertAlign w:val="superscript"/>
        </w:rPr>
      </w:pPr>
      <w:r>
        <w:rPr>
          <w:sz w:val="24"/>
          <w:szCs w:val="24"/>
          <w:vertAlign w:val="superscript"/>
        </w:rPr>
        <w:t xml:space="preserve">a </w:t>
      </w:r>
      <w:r>
        <w:rPr>
          <w:sz w:val="24"/>
          <w:szCs w:val="24"/>
        </w:rPr>
        <w:t xml:space="preserve">Universidad de Valparaíso, Facultad de Medicina, Departamento del adulto y adulto mayor, Escuela de Enfermería, San Felipe, Chile, </w:t>
      </w:r>
      <w:hyperlink r:id="rId8">
        <w:r>
          <w:rPr>
            <w:color w:val="1155CC"/>
            <w:sz w:val="24"/>
            <w:szCs w:val="24"/>
            <w:u w:val="single"/>
          </w:rPr>
          <w:t>https://orcid.org/</w:t>
        </w:r>
      </w:hyperlink>
      <w:hyperlink r:id="rId9">
        <w:r>
          <w:rPr>
            <w:color w:val="1155CC"/>
            <w:sz w:val="24"/>
            <w:szCs w:val="24"/>
            <w:u w:val="single"/>
          </w:rPr>
          <w:t>0000-0001-6855-1210</w:t>
        </w:r>
      </w:hyperlink>
      <w:r>
        <w:rPr>
          <w:sz w:val="24"/>
          <w:szCs w:val="24"/>
        </w:rPr>
        <w:t xml:space="preserve"> , </w:t>
      </w:r>
      <w:hyperlink r:id="rId10">
        <w:r>
          <w:rPr>
            <w:color w:val="1155CC"/>
            <w:sz w:val="24"/>
            <w:szCs w:val="24"/>
            <w:u w:val="single"/>
          </w:rPr>
          <w:t>ivonne.jaime@uv.cl</w:t>
        </w:r>
      </w:hyperlink>
      <w:r>
        <w:rPr>
          <w:sz w:val="24"/>
          <w:szCs w:val="24"/>
        </w:rPr>
        <w:t xml:space="preserve">. </w:t>
      </w:r>
    </w:p>
    <w:p w14:paraId="53BD297A" w14:textId="77777777" w:rsidR="00B25AD0" w:rsidRDefault="008C3CF6">
      <w:pPr>
        <w:spacing w:line="480" w:lineRule="auto"/>
        <w:jc w:val="both"/>
        <w:rPr>
          <w:sz w:val="24"/>
          <w:szCs w:val="24"/>
        </w:rPr>
      </w:pPr>
      <w:r>
        <w:rPr>
          <w:sz w:val="24"/>
          <w:szCs w:val="24"/>
          <w:vertAlign w:val="superscript"/>
        </w:rPr>
        <w:t>b</w:t>
      </w:r>
      <w:r>
        <w:rPr>
          <w:sz w:val="24"/>
          <w:szCs w:val="24"/>
        </w:rPr>
        <w:t xml:space="preserve"> Universidad de Valparaíso, Facultad de Medicina, Escuela de Enfermería, San Felipe, Chile, </w:t>
      </w:r>
      <w:hyperlink r:id="rId11">
        <w:r>
          <w:rPr>
            <w:color w:val="1155CC"/>
            <w:sz w:val="24"/>
            <w:szCs w:val="24"/>
            <w:u w:val="single"/>
          </w:rPr>
          <w:t>https://orcid.org/0000-0003-2729-1939</w:t>
        </w:r>
      </w:hyperlink>
      <w:r>
        <w:rPr>
          <w:sz w:val="24"/>
          <w:szCs w:val="24"/>
        </w:rPr>
        <w:t xml:space="preserve"> </w:t>
      </w:r>
    </w:p>
    <w:p w14:paraId="1AED0A29" w14:textId="77777777" w:rsidR="00B25AD0" w:rsidRDefault="008C3CF6">
      <w:pPr>
        <w:spacing w:line="480" w:lineRule="auto"/>
        <w:jc w:val="both"/>
        <w:rPr>
          <w:sz w:val="24"/>
          <w:szCs w:val="24"/>
        </w:rPr>
      </w:pPr>
      <w:r>
        <w:rPr>
          <w:sz w:val="24"/>
          <w:szCs w:val="24"/>
          <w:vertAlign w:val="superscript"/>
        </w:rPr>
        <w:t>c</w:t>
      </w:r>
      <w:r>
        <w:rPr>
          <w:sz w:val="24"/>
          <w:szCs w:val="24"/>
        </w:rPr>
        <w:t xml:space="preserve"> Universidad de Valparaíso, Facultad de Medicina, Escuela de Enfermería, San Felipe, Chile, </w:t>
      </w:r>
      <w:hyperlink r:id="rId12">
        <w:r>
          <w:rPr>
            <w:color w:val="1155CC"/>
            <w:sz w:val="24"/>
            <w:szCs w:val="24"/>
            <w:u w:val="single"/>
          </w:rPr>
          <w:t>https://orcid.org/0000-0001-5140-7888</w:t>
        </w:r>
      </w:hyperlink>
      <w:r>
        <w:rPr>
          <w:sz w:val="24"/>
          <w:szCs w:val="24"/>
        </w:rPr>
        <w:t xml:space="preserve">. </w:t>
      </w:r>
    </w:p>
    <w:p w14:paraId="12AB7C65" w14:textId="77777777" w:rsidR="00B25AD0" w:rsidRDefault="008C3CF6">
      <w:pPr>
        <w:spacing w:line="480" w:lineRule="auto"/>
        <w:jc w:val="both"/>
        <w:rPr>
          <w:sz w:val="24"/>
          <w:szCs w:val="24"/>
        </w:rPr>
      </w:pPr>
      <w:r>
        <w:rPr>
          <w:sz w:val="24"/>
          <w:szCs w:val="24"/>
          <w:vertAlign w:val="superscript"/>
        </w:rPr>
        <w:t>d</w:t>
      </w:r>
      <w:r>
        <w:rPr>
          <w:sz w:val="24"/>
          <w:szCs w:val="24"/>
        </w:rPr>
        <w:t xml:space="preserve"> Universidad de Valparaíso, Facultad de Medicina, Escuela de Enfermería, San Felipe, Chile, </w:t>
      </w:r>
      <w:hyperlink r:id="rId13">
        <w:r>
          <w:rPr>
            <w:color w:val="1155CC"/>
            <w:sz w:val="24"/>
            <w:szCs w:val="24"/>
            <w:u w:val="single"/>
          </w:rPr>
          <w:t>https://orcid.org/0000-0001-7764-4726</w:t>
        </w:r>
      </w:hyperlink>
      <w:r>
        <w:rPr>
          <w:sz w:val="24"/>
          <w:szCs w:val="24"/>
        </w:rPr>
        <w:t xml:space="preserve"> </w:t>
      </w:r>
    </w:p>
    <w:p w14:paraId="57CFFCB1" w14:textId="77777777" w:rsidR="00B25AD0" w:rsidRDefault="008C3CF6">
      <w:pPr>
        <w:spacing w:line="480" w:lineRule="auto"/>
        <w:jc w:val="both"/>
        <w:rPr>
          <w:b/>
          <w:sz w:val="24"/>
          <w:szCs w:val="24"/>
        </w:rPr>
      </w:pPr>
      <w:r>
        <w:rPr>
          <w:sz w:val="24"/>
          <w:szCs w:val="24"/>
          <w:vertAlign w:val="superscript"/>
        </w:rPr>
        <w:t>e</w:t>
      </w:r>
      <w:r>
        <w:rPr>
          <w:sz w:val="24"/>
          <w:szCs w:val="24"/>
        </w:rPr>
        <w:t xml:space="preserve"> Universidad de Valparaíso, Facultad de Medicina, Escuela de Enfermería, San Felipe, Chile, </w:t>
      </w:r>
      <w:hyperlink r:id="rId14">
        <w:r>
          <w:rPr>
            <w:color w:val="1155CC"/>
            <w:sz w:val="24"/>
            <w:szCs w:val="24"/>
            <w:u w:val="single"/>
          </w:rPr>
          <w:t>https://orcid.org/0000-0002-2584-6884</w:t>
        </w:r>
      </w:hyperlink>
      <w:r>
        <w:rPr>
          <w:color w:val="1155CC"/>
          <w:sz w:val="24"/>
          <w:szCs w:val="24"/>
          <w:u w:val="single"/>
        </w:rPr>
        <w:t xml:space="preserve"> </w:t>
      </w:r>
    </w:p>
    <w:p w14:paraId="611DEF83" w14:textId="77777777" w:rsidR="00B25AD0" w:rsidRDefault="008C3CF6">
      <w:pPr>
        <w:spacing w:line="480" w:lineRule="auto"/>
        <w:jc w:val="both"/>
        <w:rPr>
          <w:sz w:val="24"/>
          <w:szCs w:val="24"/>
        </w:rPr>
      </w:pPr>
      <w:r>
        <w:rPr>
          <w:sz w:val="24"/>
          <w:szCs w:val="24"/>
          <w:vertAlign w:val="superscript"/>
        </w:rPr>
        <w:t>f</w:t>
      </w:r>
      <w:r>
        <w:rPr>
          <w:sz w:val="24"/>
          <w:szCs w:val="24"/>
        </w:rPr>
        <w:t xml:space="preserve"> Universidad de Valparaíso, Facultad de Medicina, Escuela de Enfermería, San Felipe, Chile, </w:t>
      </w:r>
      <w:hyperlink r:id="rId15">
        <w:r>
          <w:rPr>
            <w:color w:val="1155CC"/>
            <w:sz w:val="24"/>
            <w:szCs w:val="24"/>
            <w:u w:val="single"/>
          </w:rPr>
          <w:t>https://orcid.org/0000-0002-9436-8708</w:t>
        </w:r>
      </w:hyperlink>
    </w:p>
    <w:p w14:paraId="30A4A1BB" w14:textId="77777777" w:rsidR="003A658E" w:rsidRDefault="003A658E">
      <w:pPr>
        <w:spacing w:line="480" w:lineRule="auto"/>
        <w:jc w:val="both"/>
        <w:rPr>
          <w:b/>
          <w:sz w:val="24"/>
          <w:szCs w:val="24"/>
        </w:rPr>
      </w:pPr>
    </w:p>
    <w:p w14:paraId="64F22CF6" w14:textId="77777777" w:rsidR="003A658E" w:rsidRDefault="003A658E">
      <w:pPr>
        <w:spacing w:line="480" w:lineRule="auto"/>
        <w:jc w:val="both"/>
        <w:rPr>
          <w:b/>
          <w:sz w:val="24"/>
          <w:szCs w:val="24"/>
        </w:rPr>
      </w:pPr>
    </w:p>
    <w:p w14:paraId="547A4CEE" w14:textId="36DD5AD3" w:rsidR="00B25AD0" w:rsidRDefault="008C3CF6">
      <w:pPr>
        <w:spacing w:line="480" w:lineRule="auto"/>
        <w:jc w:val="both"/>
        <w:rPr>
          <w:b/>
          <w:sz w:val="24"/>
          <w:szCs w:val="24"/>
        </w:rPr>
      </w:pPr>
      <w:r>
        <w:rPr>
          <w:b/>
          <w:sz w:val="24"/>
          <w:szCs w:val="24"/>
        </w:rPr>
        <w:lastRenderedPageBreak/>
        <w:t>RESUMEN</w:t>
      </w:r>
    </w:p>
    <w:p w14:paraId="72E62637" w14:textId="77777777" w:rsidR="00B25AD0" w:rsidRDefault="008C3CF6">
      <w:pPr>
        <w:spacing w:before="240" w:after="240" w:line="480" w:lineRule="auto"/>
        <w:jc w:val="both"/>
        <w:rPr>
          <w:sz w:val="24"/>
          <w:szCs w:val="24"/>
        </w:rPr>
      </w:pPr>
      <w:r>
        <w:rPr>
          <w:b/>
          <w:sz w:val="24"/>
          <w:szCs w:val="24"/>
        </w:rPr>
        <w:t xml:space="preserve">Introducción: </w:t>
      </w:r>
      <w:r>
        <w:rPr>
          <w:sz w:val="24"/>
          <w:szCs w:val="24"/>
        </w:rPr>
        <w:t xml:space="preserve">El delirio es un trastorno neuropsiquiátrico grave, multifactorial y ocurre producto de una compleja interacción entre factores precipitantes. En adultos mayores, ocasiona una serie de consecuencias, como deterioro cognitivo a largo plazo, secuelas psicológicas, aumento de la mortalidad y mayor estancia en Unidades de Cuidados Intensivos. </w:t>
      </w:r>
    </w:p>
    <w:p w14:paraId="0255116F" w14:textId="77777777" w:rsidR="00B25AD0" w:rsidRDefault="008C3CF6">
      <w:pPr>
        <w:spacing w:before="240" w:after="240" w:line="480" w:lineRule="auto"/>
        <w:jc w:val="both"/>
        <w:rPr>
          <w:sz w:val="24"/>
          <w:szCs w:val="24"/>
        </w:rPr>
      </w:pPr>
      <w:r>
        <w:rPr>
          <w:b/>
          <w:sz w:val="24"/>
          <w:szCs w:val="24"/>
        </w:rPr>
        <w:t xml:space="preserve">Objetivo: </w:t>
      </w:r>
      <w:r>
        <w:rPr>
          <w:sz w:val="24"/>
          <w:szCs w:val="24"/>
        </w:rPr>
        <w:t>Analizar en la evidencia bibliográfica los factores que influyen en el desarrollo del delirio en los usuarios adultos mayores hospitalizados en Unidades de Cuidados Intensivos.</w:t>
      </w:r>
    </w:p>
    <w:p w14:paraId="148A6FC5" w14:textId="77777777" w:rsidR="00B25AD0" w:rsidRDefault="008C3CF6">
      <w:pPr>
        <w:spacing w:before="240" w:after="240" w:line="480" w:lineRule="auto"/>
        <w:jc w:val="both"/>
        <w:rPr>
          <w:sz w:val="24"/>
          <w:szCs w:val="24"/>
        </w:rPr>
      </w:pPr>
      <w:r>
        <w:rPr>
          <w:b/>
          <w:sz w:val="24"/>
          <w:szCs w:val="24"/>
        </w:rPr>
        <w:t xml:space="preserve">Desarrollo: </w:t>
      </w:r>
      <w:r>
        <w:rPr>
          <w:sz w:val="24"/>
          <w:szCs w:val="24"/>
        </w:rPr>
        <w:t xml:space="preserve">Esta revisión narrativa se realizó usando 9 bases de datos con meSH/DeCS y palabras clave, donde se estudiaron 17 artículos, </w:t>
      </w:r>
      <w:r>
        <w:rPr>
          <w:sz w:val="24"/>
          <w:szCs w:val="24"/>
          <w:highlight w:val="white"/>
        </w:rPr>
        <w:t>publicados en el período 2016-2021</w:t>
      </w:r>
      <w:r>
        <w:rPr>
          <w:sz w:val="24"/>
          <w:szCs w:val="24"/>
        </w:rPr>
        <w:t>. Los hallazgos señalan más de un factor precipitante de delirio, entre ellos destacan: factores farmacológicos, fisiopatológicos, quirúrgicos y ambientales o estresores. Los factores farmacológicos fueron predominantes, prevaleciendo la utilización de benzodiacepinas para sedoanalgesia en la intubación rápida, manejo prolongado de ventilación mecánica y en conjunto con la polifarmacia del usuario. Otro factor relevante es el ambiental ya que conlleva a la dificultad para conciliar el sueño y desencadena un cuadro de confusión en los pacientes.</w:t>
      </w:r>
    </w:p>
    <w:p w14:paraId="1DEEA4FF" w14:textId="77777777" w:rsidR="00B25AD0" w:rsidRDefault="008C3CF6">
      <w:pPr>
        <w:spacing w:before="240" w:after="240" w:line="480" w:lineRule="auto"/>
        <w:jc w:val="both"/>
        <w:rPr>
          <w:sz w:val="24"/>
          <w:szCs w:val="24"/>
        </w:rPr>
      </w:pPr>
      <w:r>
        <w:rPr>
          <w:b/>
          <w:sz w:val="24"/>
          <w:szCs w:val="24"/>
        </w:rPr>
        <w:t xml:space="preserve">Conclusión: </w:t>
      </w:r>
      <w:r>
        <w:rPr>
          <w:sz w:val="24"/>
          <w:szCs w:val="24"/>
        </w:rPr>
        <w:t xml:space="preserve">Los resultados permiten generar un conocimiento clave para la prevención del delirio en las Unidades de Cuidado Intensivos. El rol principal del profesional de Enfermería en este servicio es la gestión del cuidado, por lo tanto, es de gran relevancia, reconocer y detectar precozmente los factores precipitantes de delirio. El buen manejo </w:t>
      </w:r>
      <w:r>
        <w:rPr>
          <w:sz w:val="24"/>
          <w:szCs w:val="24"/>
        </w:rPr>
        <w:lastRenderedPageBreak/>
        <w:t xml:space="preserve">de factores ambientales podría actuar como factor protector en el delirio de adulto mayor hospitalizado en Unidad de Cuidados Intensivos. </w:t>
      </w:r>
    </w:p>
    <w:p w14:paraId="673C9F9A" w14:textId="77777777" w:rsidR="00B25AD0" w:rsidRDefault="008C3CF6">
      <w:pPr>
        <w:spacing w:before="240" w:after="240" w:line="480" w:lineRule="auto"/>
        <w:jc w:val="both"/>
        <w:rPr>
          <w:b/>
          <w:sz w:val="24"/>
          <w:szCs w:val="24"/>
        </w:rPr>
      </w:pPr>
      <w:r>
        <w:rPr>
          <w:b/>
          <w:sz w:val="24"/>
          <w:szCs w:val="24"/>
        </w:rPr>
        <w:t xml:space="preserve">Palabras clave: </w:t>
      </w:r>
      <w:r>
        <w:rPr>
          <w:sz w:val="24"/>
          <w:szCs w:val="24"/>
        </w:rPr>
        <w:t>Delirio, Adulto Mayor, Unidad de Cuidados Intensivos, Factores precipitantes.</w:t>
      </w:r>
    </w:p>
    <w:p w14:paraId="1BC3D667" w14:textId="77777777" w:rsidR="00B25AD0" w:rsidRDefault="008C3CF6">
      <w:pPr>
        <w:spacing w:line="480" w:lineRule="auto"/>
        <w:jc w:val="both"/>
        <w:rPr>
          <w:b/>
          <w:sz w:val="24"/>
          <w:szCs w:val="24"/>
        </w:rPr>
      </w:pPr>
      <w:r>
        <w:rPr>
          <w:b/>
          <w:sz w:val="24"/>
          <w:szCs w:val="24"/>
        </w:rPr>
        <w:t>ABSTRACT</w:t>
      </w:r>
    </w:p>
    <w:p w14:paraId="2D0964CE" w14:textId="75A21208" w:rsidR="00B25AD0" w:rsidRDefault="008C3CF6">
      <w:pPr>
        <w:spacing w:line="480" w:lineRule="auto"/>
        <w:jc w:val="both"/>
        <w:rPr>
          <w:b/>
          <w:sz w:val="24"/>
          <w:szCs w:val="24"/>
        </w:rPr>
      </w:pPr>
      <w:r>
        <w:rPr>
          <w:b/>
          <w:sz w:val="24"/>
          <w:szCs w:val="24"/>
        </w:rPr>
        <w:t>RESUMO</w:t>
      </w:r>
    </w:p>
    <w:p w14:paraId="659AC5CC" w14:textId="78B81E8A" w:rsidR="007D4556" w:rsidRDefault="007D4556">
      <w:pPr>
        <w:spacing w:line="480" w:lineRule="auto"/>
        <w:jc w:val="both"/>
        <w:rPr>
          <w:b/>
          <w:sz w:val="24"/>
          <w:szCs w:val="24"/>
        </w:rPr>
      </w:pPr>
    </w:p>
    <w:p w14:paraId="4A787C48" w14:textId="778F06BF" w:rsidR="007D4556" w:rsidRDefault="007D4556">
      <w:pPr>
        <w:spacing w:line="480" w:lineRule="auto"/>
        <w:jc w:val="both"/>
        <w:rPr>
          <w:b/>
          <w:sz w:val="24"/>
          <w:szCs w:val="24"/>
        </w:rPr>
      </w:pPr>
    </w:p>
    <w:p w14:paraId="4502CFB0" w14:textId="6C44F8E6" w:rsidR="007D4556" w:rsidRDefault="007D4556">
      <w:pPr>
        <w:spacing w:line="480" w:lineRule="auto"/>
        <w:jc w:val="both"/>
        <w:rPr>
          <w:b/>
          <w:sz w:val="24"/>
          <w:szCs w:val="24"/>
        </w:rPr>
      </w:pPr>
    </w:p>
    <w:p w14:paraId="2D0D7203" w14:textId="77777777" w:rsidR="007D4556" w:rsidRPr="003A658E" w:rsidRDefault="007D4556">
      <w:pPr>
        <w:spacing w:line="480" w:lineRule="auto"/>
        <w:jc w:val="both"/>
        <w:rPr>
          <w:b/>
          <w:sz w:val="24"/>
          <w:szCs w:val="24"/>
        </w:rPr>
      </w:pPr>
    </w:p>
    <w:p w14:paraId="5C6CFD50" w14:textId="77777777" w:rsidR="00B25AD0" w:rsidRDefault="008C3CF6">
      <w:pPr>
        <w:numPr>
          <w:ilvl w:val="0"/>
          <w:numId w:val="2"/>
        </w:numPr>
        <w:spacing w:line="480" w:lineRule="auto"/>
        <w:jc w:val="both"/>
        <w:rPr>
          <w:b/>
          <w:sz w:val="24"/>
          <w:szCs w:val="24"/>
        </w:rPr>
      </w:pPr>
      <w:r>
        <w:rPr>
          <w:b/>
          <w:sz w:val="24"/>
          <w:szCs w:val="24"/>
        </w:rPr>
        <w:t>INTRODUCCIÓN</w:t>
      </w:r>
    </w:p>
    <w:p w14:paraId="5C3ED508" w14:textId="77777777" w:rsidR="00B25AD0" w:rsidRDefault="008C3CF6">
      <w:pPr>
        <w:shd w:val="clear" w:color="auto" w:fill="FFFFFF"/>
        <w:spacing w:line="480" w:lineRule="auto"/>
        <w:jc w:val="both"/>
        <w:rPr>
          <w:sz w:val="24"/>
          <w:szCs w:val="24"/>
        </w:rPr>
      </w:pPr>
      <w:r>
        <w:rPr>
          <w:sz w:val="24"/>
          <w:szCs w:val="24"/>
        </w:rPr>
        <w:t>El delirio o síndrome confusional agudo es definido como un trastorno neuropsiquiátrico grave de origen orgánico que se caracteriza por la presencia de alteraciones de la consciencia y deterioro de las funciones cognitivas</w:t>
      </w:r>
      <w:r>
        <w:rPr>
          <w:sz w:val="24"/>
          <w:szCs w:val="24"/>
          <w:vertAlign w:val="superscript"/>
        </w:rPr>
        <w:t>1</w:t>
      </w:r>
      <w:r>
        <w:rPr>
          <w:sz w:val="24"/>
          <w:szCs w:val="24"/>
        </w:rPr>
        <w:t>, la mayoría de las veces es multifactorial y ocurre producto de una compleja interacción entre factores predisponentes (aumentan la vulnerabilidad) y precipitantes (desencadenan el evento)</w:t>
      </w:r>
      <w:r>
        <w:rPr>
          <w:sz w:val="24"/>
          <w:szCs w:val="24"/>
          <w:vertAlign w:val="superscript"/>
        </w:rPr>
        <w:t>2</w:t>
      </w:r>
      <w:r>
        <w:rPr>
          <w:sz w:val="24"/>
          <w:szCs w:val="24"/>
        </w:rPr>
        <w:t>.</w:t>
      </w:r>
    </w:p>
    <w:p w14:paraId="717F6E1E" w14:textId="77777777" w:rsidR="00B25AD0" w:rsidRDefault="008C3CF6">
      <w:pPr>
        <w:shd w:val="clear" w:color="auto" w:fill="FFFFFF"/>
        <w:spacing w:line="480" w:lineRule="auto"/>
        <w:jc w:val="both"/>
        <w:rPr>
          <w:sz w:val="24"/>
          <w:szCs w:val="24"/>
        </w:rPr>
      </w:pPr>
      <w:r>
        <w:rPr>
          <w:sz w:val="24"/>
          <w:szCs w:val="24"/>
        </w:rPr>
        <w:t>Este es uno de los trastornos cognitivos más relevantes en el adulto mayor, tanto por su prevalencia como por su pronóstico. Puede ser la forma clínica de presentación de patologías graves o aparecer en el curso de ellas, a veces asociado al tratamiento farmacológico utilizado</w:t>
      </w:r>
      <w:r>
        <w:rPr>
          <w:sz w:val="24"/>
          <w:szCs w:val="24"/>
          <w:vertAlign w:val="superscript"/>
        </w:rPr>
        <w:t>3</w:t>
      </w:r>
      <w:r>
        <w:rPr>
          <w:sz w:val="24"/>
          <w:szCs w:val="24"/>
        </w:rPr>
        <w:t>; es capaz de ocasionar una mayor estancia en las Unidades de Cuidados Intensivos y como consecuencia producir una serie de eventos, entre los cuales podemos encontrar: disminución funcional, deterioro cognitivo a largo plazo, secuelas psicológicas, una mayor carga económica hacia el cuidador de la persona con delirio</w:t>
      </w:r>
      <w:r>
        <w:rPr>
          <w:sz w:val="24"/>
          <w:szCs w:val="24"/>
          <w:vertAlign w:val="superscript"/>
        </w:rPr>
        <w:t>4</w:t>
      </w:r>
      <w:r>
        <w:rPr>
          <w:sz w:val="24"/>
          <w:szCs w:val="24"/>
        </w:rPr>
        <w:t xml:space="preserve"> y </w:t>
      </w:r>
      <w:r>
        <w:rPr>
          <w:sz w:val="24"/>
          <w:szCs w:val="24"/>
        </w:rPr>
        <w:lastRenderedPageBreak/>
        <w:t>además se asocia a la prolongación de la ventilación mecánica y a un aumento de la mortalidad a corto y largo plazo</w:t>
      </w:r>
      <w:r>
        <w:rPr>
          <w:sz w:val="24"/>
          <w:szCs w:val="24"/>
          <w:vertAlign w:val="superscript"/>
        </w:rPr>
        <w:t>5</w:t>
      </w:r>
      <w:r>
        <w:rPr>
          <w:sz w:val="24"/>
          <w:szCs w:val="24"/>
        </w:rPr>
        <w:t xml:space="preserve">. </w:t>
      </w:r>
    </w:p>
    <w:p w14:paraId="40B0696A" w14:textId="77777777" w:rsidR="00B25AD0" w:rsidRDefault="008C3CF6">
      <w:pPr>
        <w:spacing w:line="480" w:lineRule="auto"/>
        <w:jc w:val="both"/>
        <w:rPr>
          <w:sz w:val="24"/>
          <w:szCs w:val="24"/>
        </w:rPr>
      </w:pPr>
      <w:r>
        <w:rPr>
          <w:sz w:val="24"/>
          <w:szCs w:val="24"/>
        </w:rPr>
        <w:t>La prevalencia del delirio aumenta con la edad llegando a presentarse en un 14% de las personas que tienen más de 85 años y alcanza un 87% en pacientes que se encuentren hospitalizados en Unidades de Cuidados Intensivos</w:t>
      </w:r>
      <w:r>
        <w:rPr>
          <w:sz w:val="24"/>
          <w:szCs w:val="24"/>
          <w:vertAlign w:val="superscript"/>
        </w:rPr>
        <w:t>6</w:t>
      </w:r>
      <w:r>
        <w:rPr>
          <w:sz w:val="24"/>
          <w:szCs w:val="24"/>
        </w:rPr>
        <w:t>. Además, según explica el Dr. Eduardo Tobar, médico intensivista del Hospital Clínico Universidad de Chile, la incidencia en nuestro país es alrededor del 20-30%</w:t>
      </w:r>
      <w:r>
        <w:rPr>
          <w:sz w:val="24"/>
          <w:szCs w:val="24"/>
          <w:vertAlign w:val="superscript"/>
        </w:rPr>
        <w:t>7-8</w:t>
      </w:r>
      <w:r>
        <w:rPr>
          <w:sz w:val="24"/>
          <w:szCs w:val="24"/>
        </w:rPr>
        <w:t>.</w:t>
      </w:r>
    </w:p>
    <w:p w14:paraId="4AC8CC5E" w14:textId="77777777" w:rsidR="00B25AD0" w:rsidRDefault="008C3CF6">
      <w:pPr>
        <w:spacing w:line="480" w:lineRule="auto"/>
        <w:jc w:val="both"/>
        <w:rPr>
          <w:sz w:val="24"/>
          <w:szCs w:val="24"/>
        </w:rPr>
      </w:pPr>
      <w:r>
        <w:rPr>
          <w:sz w:val="24"/>
          <w:szCs w:val="24"/>
        </w:rPr>
        <w:t>Según SENAMA (Servicio Nacional del Adulto Mayor), el término “adulto mayor” se refiere a cualquier persona, sea hombre o mujer, que sobrepasa los 60 años de edad</w:t>
      </w:r>
      <w:r>
        <w:rPr>
          <w:sz w:val="24"/>
          <w:szCs w:val="24"/>
          <w:vertAlign w:val="superscript"/>
        </w:rPr>
        <w:t>9</w:t>
      </w:r>
      <w:r>
        <w:rPr>
          <w:sz w:val="24"/>
          <w:szCs w:val="24"/>
        </w:rPr>
        <w:t>, sin embargo, para este estudio se tomarán en cuenta como adultos mayores todas aquellas personas que tengan más de 65 años. Asimismo, se utilizará el concepto “Personas Mayores” como sinónimo de “Adultos Mayores” a lo largo de esta revisión.</w:t>
      </w:r>
    </w:p>
    <w:p w14:paraId="14550938" w14:textId="77777777" w:rsidR="00B25AD0" w:rsidRDefault="008C3CF6">
      <w:pPr>
        <w:spacing w:line="480" w:lineRule="auto"/>
        <w:jc w:val="both"/>
        <w:rPr>
          <w:sz w:val="24"/>
          <w:szCs w:val="24"/>
        </w:rPr>
      </w:pPr>
      <w:r>
        <w:rPr>
          <w:sz w:val="24"/>
          <w:szCs w:val="24"/>
        </w:rPr>
        <w:t>El Modelo de Sistemas Neuman, define a la persona como un sistema abierto que interactúa con el medio ambiente facilitando la armonía y el equilibrio entre los ambientes internos y externos, en donde se implica directamente al equipo de enfermería en la planificación de los cuidados en su totalidad</w:t>
      </w:r>
      <w:r>
        <w:rPr>
          <w:sz w:val="24"/>
          <w:szCs w:val="24"/>
          <w:vertAlign w:val="superscript"/>
        </w:rPr>
        <w:t>10</w:t>
      </w:r>
      <w:r>
        <w:rPr>
          <w:sz w:val="24"/>
          <w:szCs w:val="24"/>
        </w:rPr>
        <w:t>.</w:t>
      </w:r>
    </w:p>
    <w:p w14:paraId="1D4F5F5F" w14:textId="77777777" w:rsidR="00B25AD0" w:rsidRDefault="008C3CF6">
      <w:pPr>
        <w:spacing w:line="480" w:lineRule="auto"/>
        <w:jc w:val="both"/>
        <w:rPr>
          <w:sz w:val="24"/>
          <w:szCs w:val="24"/>
        </w:rPr>
      </w:pPr>
      <w:r>
        <w:rPr>
          <w:sz w:val="24"/>
          <w:szCs w:val="24"/>
        </w:rPr>
        <w:t>El delirio se puede prevenir y se puede reducir su tasa de incidencia hasta en un 30% con intervenciones multifactoriales</w:t>
      </w:r>
      <w:r>
        <w:rPr>
          <w:sz w:val="24"/>
          <w:szCs w:val="24"/>
          <w:vertAlign w:val="superscript"/>
        </w:rPr>
        <w:t>11</w:t>
      </w:r>
      <w:r>
        <w:rPr>
          <w:sz w:val="24"/>
          <w:szCs w:val="24"/>
        </w:rPr>
        <w:t>. Teniendo en cuenta esto, y sumando el Modelo de Sistemas Neuman, podemos decir que es de relevancia visibilizar los factores más frecuentes que precipitan el delirio en los adultos mayores para, en un futuro cercano, tener más estudios y poder protocolizar el manejo del delirio en las Unidades de Cuidados Intensivos, y así poder disminuir su prevalencia, de manera que una oportuna prevención e identificación del síndrome logre que se pueda brindar una ayuda a tiempo al paciente que lo necesite.</w:t>
      </w:r>
    </w:p>
    <w:p w14:paraId="70B38809" w14:textId="5B14FA3C" w:rsidR="00B25AD0" w:rsidRDefault="008C3CF6">
      <w:pPr>
        <w:spacing w:line="480" w:lineRule="auto"/>
        <w:jc w:val="both"/>
        <w:rPr>
          <w:sz w:val="24"/>
          <w:szCs w:val="24"/>
        </w:rPr>
      </w:pPr>
      <w:r>
        <w:rPr>
          <w:sz w:val="24"/>
          <w:szCs w:val="24"/>
        </w:rPr>
        <w:lastRenderedPageBreak/>
        <w:t xml:space="preserve">El presente artículo tiene como objetivo analizar en la evidencia bibliográfica los aspectos que influyen en el desarrollo del delirio en los usuarios adultos mayores hospitalizados en Unidades de Cuidados Intensivos; y así responder la siguiente pregunta: ¿Cuáles son los factores que precipitan el delirio en Personas Mayores en Unidades de Cuidados Intensivos? </w:t>
      </w:r>
    </w:p>
    <w:p w14:paraId="4ED0A73D" w14:textId="77777777" w:rsidR="007D4556" w:rsidRDefault="007D4556">
      <w:pPr>
        <w:spacing w:line="480" w:lineRule="auto"/>
        <w:jc w:val="both"/>
        <w:rPr>
          <w:sz w:val="24"/>
          <w:szCs w:val="24"/>
        </w:rPr>
      </w:pPr>
    </w:p>
    <w:p w14:paraId="3276C299" w14:textId="77777777" w:rsidR="00B25AD0" w:rsidRDefault="008C3CF6">
      <w:pPr>
        <w:numPr>
          <w:ilvl w:val="0"/>
          <w:numId w:val="2"/>
        </w:numPr>
        <w:spacing w:line="480" w:lineRule="auto"/>
        <w:jc w:val="both"/>
        <w:rPr>
          <w:b/>
          <w:sz w:val="24"/>
          <w:szCs w:val="24"/>
        </w:rPr>
      </w:pPr>
      <w:r>
        <w:rPr>
          <w:b/>
          <w:sz w:val="24"/>
          <w:szCs w:val="24"/>
        </w:rPr>
        <w:t>DESARROLLO</w:t>
      </w:r>
    </w:p>
    <w:p w14:paraId="11142ED8" w14:textId="77777777" w:rsidR="00B25AD0" w:rsidRDefault="008C3CF6">
      <w:pPr>
        <w:numPr>
          <w:ilvl w:val="1"/>
          <w:numId w:val="2"/>
        </w:numPr>
        <w:spacing w:line="480" w:lineRule="auto"/>
        <w:jc w:val="both"/>
        <w:rPr>
          <w:b/>
          <w:sz w:val="24"/>
          <w:szCs w:val="24"/>
        </w:rPr>
      </w:pPr>
      <w:r>
        <w:rPr>
          <w:b/>
          <w:sz w:val="24"/>
          <w:szCs w:val="24"/>
        </w:rPr>
        <w:t>Metodología</w:t>
      </w:r>
    </w:p>
    <w:p w14:paraId="4E55BDFA" w14:textId="4CA5E5C5" w:rsidR="00B25AD0" w:rsidRDefault="008C3CF6">
      <w:pPr>
        <w:spacing w:line="480" w:lineRule="auto"/>
        <w:jc w:val="both"/>
        <w:rPr>
          <w:b/>
          <w:sz w:val="24"/>
          <w:szCs w:val="24"/>
          <w:highlight w:val="white"/>
        </w:rPr>
      </w:pPr>
      <w:r>
        <w:rPr>
          <w:sz w:val="24"/>
          <w:szCs w:val="24"/>
        </w:rPr>
        <w:t xml:space="preserve">Este estudio corresponde a una revisión narrativa de la literatura científica. </w:t>
      </w:r>
      <w:r>
        <w:rPr>
          <w:sz w:val="24"/>
          <w:szCs w:val="24"/>
          <w:highlight w:val="white"/>
        </w:rPr>
        <w:t xml:space="preserve">Se realizó </w:t>
      </w:r>
      <w:r w:rsidR="00007D6E">
        <w:rPr>
          <w:sz w:val="24"/>
          <w:szCs w:val="24"/>
          <w:highlight w:val="white"/>
        </w:rPr>
        <w:t xml:space="preserve"> 6</w:t>
      </w:r>
      <w:r>
        <w:rPr>
          <w:sz w:val="24"/>
          <w:szCs w:val="24"/>
          <w:highlight w:val="white"/>
        </w:rPr>
        <w:t xml:space="preserve">búsqueda de literatura científica sobre delirio en Unidades de Paciente Crítico (UPC) y Unidades de Cuidados Intensivos (UCI), en las bases de datos Science Direct, Biblioteca </w:t>
      </w:r>
      <w:r>
        <w:rPr>
          <w:color w:val="212121"/>
          <w:sz w:val="24"/>
          <w:szCs w:val="24"/>
          <w:highlight w:val="white"/>
        </w:rPr>
        <w:t xml:space="preserve">Virtual en Salud, Cuiden, ClinicalKey, </w:t>
      </w:r>
      <w:r>
        <w:rPr>
          <w:sz w:val="24"/>
          <w:szCs w:val="24"/>
          <w:highlight w:val="white"/>
        </w:rPr>
        <w:t xml:space="preserve"> Dialnet, </w:t>
      </w:r>
      <w:r>
        <w:rPr>
          <w:color w:val="212121"/>
          <w:sz w:val="24"/>
          <w:szCs w:val="24"/>
          <w:highlight w:val="white"/>
        </w:rPr>
        <w:t>Fuente Académica Plus, Academic Search Ultimate, BASE, Web of Science</w:t>
      </w:r>
      <w:r>
        <w:rPr>
          <w:sz w:val="24"/>
          <w:szCs w:val="24"/>
          <w:highlight w:val="white"/>
        </w:rPr>
        <w:t xml:space="preserve">, con los Descriptores en Ciencias de la Salud (DeCS) y los Medical Subject Headings (MeSH) correspondientes a nuestro estudio. Después de esto, se elaboró una estrategia de búsqueda en español e inglés y se realizaron diversas combinaciones con los términos identificados y los operadores booleanos AND y OR </w:t>
      </w:r>
      <w:commentRangeStart w:id="1"/>
      <w:r>
        <w:rPr>
          <w:sz w:val="24"/>
          <w:szCs w:val="24"/>
          <w:highlight w:val="white"/>
        </w:rPr>
        <w:t>(Tabla 1).</w:t>
      </w:r>
      <w:commentRangeEnd w:id="1"/>
      <w:r w:rsidR="007D4556">
        <w:rPr>
          <w:rStyle w:val="Refdecomentario"/>
        </w:rPr>
        <w:commentReference w:id="1"/>
      </w:r>
    </w:p>
    <w:tbl>
      <w:tblPr>
        <w:tblStyle w:val="a"/>
        <w:tblW w:w="9195" w:type="dxa"/>
        <w:tblInd w:w="-1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715"/>
        <w:gridCol w:w="3255"/>
        <w:gridCol w:w="3225"/>
      </w:tblGrid>
      <w:tr w:rsidR="00B25AD0" w14:paraId="4D7F0531" w14:textId="77777777">
        <w:tc>
          <w:tcPr>
            <w:tcW w:w="2715" w:type="dxa"/>
            <w:shd w:val="clear" w:color="auto" w:fill="auto"/>
            <w:tcMar>
              <w:top w:w="100" w:type="dxa"/>
              <w:left w:w="100" w:type="dxa"/>
              <w:bottom w:w="100" w:type="dxa"/>
              <w:right w:w="100" w:type="dxa"/>
            </w:tcMar>
          </w:tcPr>
          <w:p w14:paraId="4A6611C9" w14:textId="77777777" w:rsidR="00B25AD0" w:rsidRDefault="008C3CF6">
            <w:pPr>
              <w:widowControl w:val="0"/>
              <w:pBdr>
                <w:top w:val="nil"/>
                <w:left w:val="nil"/>
                <w:bottom w:val="nil"/>
                <w:right w:val="nil"/>
                <w:between w:val="nil"/>
              </w:pBdr>
              <w:spacing w:line="240" w:lineRule="auto"/>
              <w:jc w:val="both"/>
              <w:rPr>
                <w:b/>
                <w:sz w:val="24"/>
                <w:szCs w:val="24"/>
                <w:highlight w:val="white"/>
              </w:rPr>
            </w:pPr>
            <w:r>
              <w:rPr>
                <w:b/>
                <w:sz w:val="24"/>
                <w:szCs w:val="24"/>
                <w:highlight w:val="white"/>
              </w:rPr>
              <w:t>Palabra clave</w:t>
            </w:r>
          </w:p>
        </w:tc>
        <w:tc>
          <w:tcPr>
            <w:tcW w:w="3255" w:type="dxa"/>
            <w:shd w:val="clear" w:color="auto" w:fill="auto"/>
            <w:tcMar>
              <w:top w:w="100" w:type="dxa"/>
              <w:left w:w="100" w:type="dxa"/>
              <w:bottom w:w="100" w:type="dxa"/>
              <w:right w:w="100" w:type="dxa"/>
            </w:tcMar>
          </w:tcPr>
          <w:p w14:paraId="48C5306C" w14:textId="77777777" w:rsidR="00B25AD0" w:rsidRDefault="008C3CF6">
            <w:pPr>
              <w:widowControl w:val="0"/>
              <w:pBdr>
                <w:top w:val="nil"/>
                <w:left w:val="nil"/>
                <w:bottom w:val="nil"/>
                <w:right w:val="nil"/>
                <w:between w:val="nil"/>
              </w:pBdr>
              <w:spacing w:line="240" w:lineRule="auto"/>
              <w:jc w:val="both"/>
              <w:rPr>
                <w:b/>
                <w:sz w:val="24"/>
                <w:szCs w:val="24"/>
                <w:highlight w:val="white"/>
              </w:rPr>
            </w:pPr>
            <w:r>
              <w:rPr>
                <w:b/>
                <w:sz w:val="24"/>
                <w:szCs w:val="24"/>
                <w:highlight w:val="white"/>
              </w:rPr>
              <w:t>DeCS</w:t>
            </w:r>
          </w:p>
        </w:tc>
        <w:tc>
          <w:tcPr>
            <w:tcW w:w="3225" w:type="dxa"/>
            <w:shd w:val="clear" w:color="auto" w:fill="auto"/>
            <w:tcMar>
              <w:top w:w="100" w:type="dxa"/>
              <w:left w:w="100" w:type="dxa"/>
              <w:bottom w:w="100" w:type="dxa"/>
              <w:right w:w="100" w:type="dxa"/>
            </w:tcMar>
          </w:tcPr>
          <w:p w14:paraId="4FDF885C" w14:textId="77777777" w:rsidR="00B25AD0" w:rsidRDefault="008C3CF6">
            <w:pPr>
              <w:widowControl w:val="0"/>
              <w:pBdr>
                <w:top w:val="nil"/>
                <w:left w:val="nil"/>
                <w:bottom w:val="nil"/>
                <w:right w:val="nil"/>
                <w:between w:val="nil"/>
              </w:pBdr>
              <w:spacing w:line="240" w:lineRule="auto"/>
              <w:jc w:val="both"/>
              <w:rPr>
                <w:b/>
                <w:sz w:val="24"/>
                <w:szCs w:val="24"/>
                <w:highlight w:val="white"/>
              </w:rPr>
            </w:pPr>
            <w:r>
              <w:rPr>
                <w:b/>
                <w:sz w:val="24"/>
                <w:szCs w:val="24"/>
                <w:highlight w:val="white"/>
              </w:rPr>
              <w:t>MeSH</w:t>
            </w:r>
          </w:p>
        </w:tc>
      </w:tr>
      <w:tr w:rsidR="00B25AD0" w14:paraId="2A6D6AC3" w14:textId="77777777">
        <w:tc>
          <w:tcPr>
            <w:tcW w:w="2715" w:type="dxa"/>
            <w:shd w:val="clear" w:color="auto" w:fill="auto"/>
            <w:tcMar>
              <w:top w:w="100" w:type="dxa"/>
              <w:left w:w="100" w:type="dxa"/>
              <w:bottom w:w="100" w:type="dxa"/>
              <w:right w:w="100" w:type="dxa"/>
            </w:tcMar>
          </w:tcPr>
          <w:p w14:paraId="1CF7057D" w14:textId="77777777" w:rsidR="00B25AD0" w:rsidRDefault="008C3CF6">
            <w:pPr>
              <w:widowControl w:val="0"/>
              <w:pBdr>
                <w:top w:val="nil"/>
                <w:left w:val="nil"/>
                <w:bottom w:val="nil"/>
                <w:right w:val="nil"/>
                <w:between w:val="nil"/>
              </w:pBdr>
              <w:spacing w:line="240" w:lineRule="auto"/>
              <w:jc w:val="both"/>
              <w:rPr>
                <w:sz w:val="24"/>
                <w:szCs w:val="24"/>
                <w:highlight w:val="white"/>
              </w:rPr>
            </w:pPr>
            <w:r>
              <w:rPr>
                <w:sz w:val="24"/>
                <w:szCs w:val="24"/>
                <w:highlight w:val="white"/>
              </w:rPr>
              <w:t xml:space="preserve">Delirio </w:t>
            </w:r>
          </w:p>
        </w:tc>
        <w:tc>
          <w:tcPr>
            <w:tcW w:w="3255" w:type="dxa"/>
            <w:shd w:val="clear" w:color="auto" w:fill="auto"/>
            <w:tcMar>
              <w:top w:w="100" w:type="dxa"/>
              <w:left w:w="100" w:type="dxa"/>
              <w:bottom w:w="100" w:type="dxa"/>
              <w:right w:w="100" w:type="dxa"/>
            </w:tcMar>
          </w:tcPr>
          <w:p w14:paraId="4B9A5A56" w14:textId="77777777" w:rsidR="00B25AD0" w:rsidRDefault="008C3CF6">
            <w:pPr>
              <w:widowControl w:val="0"/>
              <w:pBdr>
                <w:top w:val="nil"/>
                <w:left w:val="nil"/>
                <w:bottom w:val="nil"/>
                <w:right w:val="nil"/>
                <w:between w:val="nil"/>
              </w:pBdr>
              <w:spacing w:line="240" w:lineRule="auto"/>
              <w:jc w:val="both"/>
              <w:rPr>
                <w:sz w:val="24"/>
                <w:szCs w:val="24"/>
                <w:highlight w:val="white"/>
              </w:rPr>
            </w:pPr>
            <w:r>
              <w:rPr>
                <w:sz w:val="24"/>
                <w:szCs w:val="24"/>
                <w:highlight w:val="white"/>
              </w:rPr>
              <w:t>Delirio</w:t>
            </w:r>
          </w:p>
        </w:tc>
        <w:tc>
          <w:tcPr>
            <w:tcW w:w="3225" w:type="dxa"/>
            <w:shd w:val="clear" w:color="auto" w:fill="auto"/>
            <w:tcMar>
              <w:top w:w="100" w:type="dxa"/>
              <w:left w:w="100" w:type="dxa"/>
              <w:bottom w:w="100" w:type="dxa"/>
              <w:right w:w="100" w:type="dxa"/>
            </w:tcMar>
          </w:tcPr>
          <w:p w14:paraId="7B886B7B" w14:textId="77777777" w:rsidR="00B25AD0" w:rsidRDefault="008C3CF6">
            <w:pPr>
              <w:widowControl w:val="0"/>
              <w:pBdr>
                <w:top w:val="nil"/>
                <w:left w:val="nil"/>
                <w:bottom w:val="nil"/>
                <w:right w:val="nil"/>
                <w:between w:val="nil"/>
              </w:pBdr>
              <w:spacing w:line="240" w:lineRule="auto"/>
              <w:jc w:val="both"/>
              <w:rPr>
                <w:sz w:val="24"/>
                <w:szCs w:val="24"/>
                <w:highlight w:val="white"/>
              </w:rPr>
            </w:pPr>
            <w:r>
              <w:rPr>
                <w:sz w:val="24"/>
                <w:szCs w:val="24"/>
                <w:highlight w:val="white"/>
              </w:rPr>
              <w:t>Delirium</w:t>
            </w:r>
          </w:p>
          <w:p w14:paraId="3B905082" w14:textId="77777777" w:rsidR="00B25AD0" w:rsidRDefault="008C3CF6">
            <w:pPr>
              <w:widowControl w:val="0"/>
              <w:pBdr>
                <w:top w:val="nil"/>
                <w:left w:val="nil"/>
                <w:bottom w:val="nil"/>
                <w:right w:val="nil"/>
                <w:between w:val="nil"/>
              </w:pBdr>
              <w:spacing w:line="240" w:lineRule="auto"/>
              <w:jc w:val="both"/>
              <w:rPr>
                <w:sz w:val="24"/>
                <w:szCs w:val="24"/>
                <w:highlight w:val="white"/>
              </w:rPr>
            </w:pPr>
            <w:r>
              <w:rPr>
                <w:sz w:val="24"/>
                <w:szCs w:val="24"/>
                <w:highlight w:val="white"/>
              </w:rPr>
              <w:t>Acute Confusional Syndrome</w:t>
            </w:r>
          </w:p>
        </w:tc>
      </w:tr>
      <w:tr w:rsidR="00B25AD0" w14:paraId="01AD98A0" w14:textId="77777777">
        <w:tc>
          <w:tcPr>
            <w:tcW w:w="2715" w:type="dxa"/>
            <w:shd w:val="clear" w:color="auto" w:fill="auto"/>
            <w:tcMar>
              <w:top w:w="100" w:type="dxa"/>
              <w:left w:w="100" w:type="dxa"/>
              <w:bottom w:w="100" w:type="dxa"/>
              <w:right w:w="100" w:type="dxa"/>
            </w:tcMar>
          </w:tcPr>
          <w:p w14:paraId="42A58505" w14:textId="77777777" w:rsidR="00B25AD0" w:rsidRDefault="008C3CF6">
            <w:pPr>
              <w:widowControl w:val="0"/>
              <w:pBdr>
                <w:top w:val="nil"/>
                <w:left w:val="nil"/>
                <w:bottom w:val="nil"/>
                <w:right w:val="nil"/>
                <w:between w:val="nil"/>
              </w:pBdr>
              <w:spacing w:line="240" w:lineRule="auto"/>
              <w:jc w:val="both"/>
              <w:rPr>
                <w:sz w:val="24"/>
                <w:szCs w:val="24"/>
                <w:highlight w:val="white"/>
              </w:rPr>
            </w:pPr>
            <w:r>
              <w:rPr>
                <w:sz w:val="24"/>
                <w:szCs w:val="24"/>
                <w:highlight w:val="white"/>
              </w:rPr>
              <w:t>Adulto Mayor</w:t>
            </w:r>
          </w:p>
        </w:tc>
        <w:tc>
          <w:tcPr>
            <w:tcW w:w="3255" w:type="dxa"/>
            <w:shd w:val="clear" w:color="auto" w:fill="auto"/>
            <w:tcMar>
              <w:top w:w="100" w:type="dxa"/>
              <w:left w:w="100" w:type="dxa"/>
              <w:bottom w:w="100" w:type="dxa"/>
              <w:right w:w="100" w:type="dxa"/>
            </w:tcMar>
          </w:tcPr>
          <w:p w14:paraId="62ECE3E9" w14:textId="77777777" w:rsidR="00B25AD0" w:rsidRDefault="008C3CF6">
            <w:pPr>
              <w:widowControl w:val="0"/>
              <w:pBdr>
                <w:top w:val="nil"/>
                <w:left w:val="nil"/>
                <w:bottom w:val="nil"/>
                <w:right w:val="nil"/>
                <w:between w:val="nil"/>
              </w:pBdr>
              <w:spacing w:line="240" w:lineRule="auto"/>
              <w:jc w:val="both"/>
              <w:rPr>
                <w:sz w:val="24"/>
                <w:szCs w:val="24"/>
                <w:highlight w:val="white"/>
              </w:rPr>
            </w:pPr>
            <w:r>
              <w:rPr>
                <w:sz w:val="24"/>
                <w:szCs w:val="24"/>
                <w:highlight w:val="white"/>
              </w:rPr>
              <w:t xml:space="preserve">Anciano </w:t>
            </w:r>
          </w:p>
        </w:tc>
        <w:tc>
          <w:tcPr>
            <w:tcW w:w="3225" w:type="dxa"/>
            <w:shd w:val="clear" w:color="auto" w:fill="auto"/>
            <w:tcMar>
              <w:top w:w="100" w:type="dxa"/>
              <w:left w:w="100" w:type="dxa"/>
              <w:bottom w:w="100" w:type="dxa"/>
              <w:right w:w="100" w:type="dxa"/>
            </w:tcMar>
          </w:tcPr>
          <w:p w14:paraId="34F04C58" w14:textId="77777777" w:rsidR="00B25AD0" w:rsidRDefault="008C3CF6">
            <w:pPr>
              <w:widowControl w:val="0"/>
              <w:pBdr>
                <w:top w:val="nil"/>
                <w:left w:val="nil"/>
                <w:bottom w:val="nil"/>
                <w:right w:val="nil"/>
                <w:between w:val="nil"/>
              </w:pBdr>
              <w:spacing w:line="240" w:lineRule="auto"/>
              <w:jc w:val="both"/>
              <w:rPr>
                <w:sz w:val="24"/>
                <w:szCs w:val="24"/>
                <w:highlight w:val="white"/>
              </w:rPr>
            </w:pPr>
            <w:r>
              <w:rPr>
                <w:sz w:val="24"/>
                <w:szCs w:val="24"/>
                <w:highlight w:val="white"/>
              </w:rPr>
              <w:t>Elderly</w:t>
            </w:r>
          </w:p>
        </w:tc>
      </w:tr>
      <w:tr w:rsidR="00B25AD0" w14:paraId="5B0D5D0C" w14:textId="77777777">
        <w:tc>
          <w:tcPr>
            <w:tcW w:w="2715" w:type="dxa"/>
            <w:shd w:val="clear" w:color="auto" w:fill="auto"/>
            <w:tcMar>
              <w:top w:w="100" w:type="dxa"/>
              <w:left w:w="100" w:type="dxa"/>
              <w:bottom w:w="100" w:type="dxa"/>
              <w:right w:w="100" w:type="dxa"/>
            </w:tcMar>
          </w:tcPr>
          <w:p w14:paraId="7BC4DEA1" w14:textId="77777777" w:rsidR="00B25AD0" w:rsidRDefault="008C3CF6">
            <w:pPr>
              <w:widowControl w:val="0"/>
              <w:pBdr>
                <w:top w:val="nil"/>
                <w:left w:val="nil"/>
                <w:bottom w:val="nil"/>
                <w:right w:val="nil"/>
                <w:between w:val="nil"/>
              </w:pBdr>
              <w:spacing w:line="240" w:lineRule="auto"/>
              <w:jc w:val="both"/>
              <w:rPr>
                <w:sz w:val="24"/>
                <w:szCs w:val="24"/>
                <w:highlight w:val="white"/>
              </w:rPr>
            </w:pPr>
            <w:r>
              <w:rPr>
                <w:sz w:val="24"/>
                <w:szCs w:val="24"/>
                <w:highlight w:val="white"/>
              </w:rPr>
              <w:t>Unidad de Cuidados Intensivos</w:t>
            </w:r>
          </w:p>
        </w:tc>
        <w:tc>
          <w:tcPr>
            <w:tcW w:w="3255" w:type="dxa"/>
            <w:shd w:val="clear" w:color="auto" w:fill="auto"/>
            <w:tcMar>
              <w:top w:w="100" w:type="dxa"/>
              <w:left w:w="100" w:type="dxa"/>
              <w:bottom w:w="100" w:type="dxa"/>
              <w:right w:w="100" w:type="dxa"/>
            </w:tcMar>
          </w:tcPr>
          <w:p w14:paraId="4A9DC2A5" w14:textId="77777777" w:rsidR="00B25AD0" w:rsidRDefault="008C3CF6">
            <w:pPr>
              <w:widowControl w:val="0"/>
              <w:pBdr>
                <w:top w:val="nil"/>
                <w:left w:val="nil"/>
                <w:bottom w:val="nil"/>
                <w:right w:val="nil"/>
                <w:between w:val="nil"/>
              </w:pBdr>
              <w:spacing w:line="240" w:lineRule="auto"/>
              <w:jc w:val="both"/>
              <w:rPr>
                <w:sz w:val="24"/>
                <w:szCs w:val="24"/>
                <w:highlight w:val="white"/>
              </w:rPr>
            </w:pPr>
            <w:r>
              <w:rPr>
                <w:sz w:val="24"/>
                <w:szCs w:val="24"/>
                <w:highlight w:val="white"/>
              </w:rPr>
              <w:t>Unidad de Cuidados Intensivos</w:t>
            </w:r>
          </w:p>
        </w:tc>
        <w:tc>
          <w:tcPr>
            <w:tcW w:w="3225" w:type="dxa"/>
            <w:shd w:val="clear" w:color="auto" w:fill="auto"/>
            <w:tcMar>
              <w:top w:w="100" w:type="dxa"/>
              <w:left w:w="100" w:type="dxa"/>
              <w:bottom w:w="100" w:type="dxa"/>
              <w:right w:w="100" w:type="dxa"/>
            </w:tcMar>
          </w:tcPr>
          <w:p w14:paraId="214123F6" w14:textId="77777777" w:rsidR="00B25AD0" w:rsidRDefault="008C3CF6">
            <w:pPr>
              <w:widowControl w:val="0"/>
              <w:pBdr>
                <w:top w:val="nil"/>
                <w:left w:val="nil"/>
                <w:bottom w:val="nil"/>
                <w:right w:val="nil"/>
                <w:between w:val="nil"/>
              </w:pBdr>
              <w:spacing w:line="240" w:lineRule="auto"/>
              <w:jc w:val="both"/>
              <w:rPr>
                <w:sz w:val="24"/>
                <w:szCs w:val="24"/>
                <w:highlight w:val="white"/>
              </w:rPr>
            </w:pPr>
            <w:r>
              <w:rPr>
                <w:sz w:val="24"/>
                <w:szCs w:val="24"/>
                <w:highlight w:val="white"/>
              </w:rPr>
              <w:t>Intensive Care Units</w:t>
            </w:r>
          </w:p>
        </w:tc>
      </w:tr>
      <w:tr w:rsidR="00B25AD0" w14:paraId="5DACB7CA" w14:textId="77777777">
        <w:tc>
          <w:tcPr>
            <w:tcW w:w="2715" w:type="dxa"/>
            <w:shd w:val="clear" w:color="auto" w:fill="auto"/>
            <w:tcMar>
              <w:top w:w="100" w:type="dxa"/>
              <w:left w:w="100" w:type="dxa"/>
              <w:bottom w:w="100" w:type="dxa"/>
              <w:right w:w="100" w:type="dxa"/>
            </w:tcMar>
          </w:tcPr>
          <w:p w14:paraId="2AB7768B" w14:textId="77777777" w:rsidR="00B25AD0" w:rsidRDefault="008C3CF6">
            <w:pPr>
              <w:widowControl w:val="0"/>
              <w:pBdr>
                <w:top w:val="nil"/>
                <w:left w:val="nil"/>
                <w:bottom w:val="nil"/>
                <w:right w:val="nil"/>
                <w:between w:val="nil"/>
              </w:pBdr>
              <w:spacing w:line="240" w:lineRule="auto"/>
              <w:jc w:val="both"/>
              <w:rPr>
                <w:sz w:val="24"/>
                <w:szCs w:val="24"/>
                <w:highlight w:val="white"/>
              </w:rPr>
            </w:pPr>
            <w:r>
              <w:rPr>
                <w:sz w:val="24"/>
                <w:szCs w:val="24"/>
                <w:highlight w:val="white"/>
              </w:rPr>
              <w:t>Factores Precipitantes</w:t>
            </w:r>
          </w:p>
        </w:tc>
        <w:tc>
          <w:tcPr>
            <w:tcW w:w="3255" w:type="dxa"/>
            <w:shd w:val="clear" w:color="auto" w:fill="auto"/>
            <w:tcMar>
              <w:top w:w="100" w:type="dxa"/>
              <w:left w:w="100" w:type="dxa"/>
              <w:bottom w:w="100" w:type="dxa"/>
              <w:right w:w="100" w:type="dxa"/>
            </w:tcMar>
          </w:tcPr>
          <w:p w14:paraId="5B4B7C86" w14:textId="77777777" w:rsidR="00B25AD0" w:rsidRDefault="008C3CF6">
            <w:pPr>
              <w:widowControl w:val="0"/>
              <w:pBdr>
                <w:top w:val="nil"/>
                <w:left w:val="nil"/>
                <w:bottom w:val="nil"/>
                <w:right w:val="nil"/>
                <w:between w:val="nil"/>
              </w:pBdr>
              <w:spacing w:line="240" w:lineRule="auto"/>
              <w:jc w:val="both"/>
              <w:rPr>
                <w:sz w:val="24"/>
                <w:szCs w:val="24"/>
                <w:highlight w:val="white"/>
              </w:rPr>
            </w:pPr>
            <w:r>
              <w:rPr>
                <w:sz w:val="24"/>
                <w:szCs w:val="24"/>
                <w:highlight w:val="white"/>
              </w:rPr>
              <w:t>Factores desencadenantes</w:t>
            </w:r>
          </w:p>
        </w:tc>
        <w:tc>
          <w:tcPr>
            <w:tcW w:w="3225" w:type="dxa"/>
            <w:shd w:val="clear" w:color="auto" w:fill="auto"/>
            <w:tcMar>
              <w:top w:w="100" w:type="dxa"/>
              <w:left w:w="100" w:type="dxa"/>
              <w:bottom w:w="100" w:type="dxa"/>
              <w:right w:w="100" w:type="dxa"/>
            </w:tcMar>
          </w:tcPr>
          <w:p w14:paraId="79F50C33" w14:textId="77777777" w:rsidR="00B25AD0" w:rsidRDefault="008C3CF6">
            <w:pPr>
              <w:widowControl w:val="0"/>
              <w:pBdr>
                <w:top w:val="nil"/>
                <w:left w:val="nil"/>
                <w:bottom w:val="nil"/>
                <w:right w:val="nil"/>
                <w:between w:val="nil"/>
              </w:pBdr>
              <w:spacing w:line="240" w:lineRule="auto"/>
              <w:jc w:val="both"/>
              <w:rPr>
                <w:sz w:val="24"/>
                <w:szCs w:val="24"/>
                <w:highlight w:val="white"/>
              </w:rPr>
            </w:pPr>
            <w:r>
              <w:rPr>
                <w:sz w:val="24"/>
                <w:szCs w:val="24"/>
                <w:highlight w:val="white"/>
              </w:rPr>
              <w:t>Precipitating Factors</w:t>
            </w:r>
          </w:p>
          <w:p w14:paraId="48E1F378" w14:textId="77777777" w:rsidR="00B25AD0" w:rsidRDefault="008C3CF6">
            <w:pPr>
              <w:widowControl w:val="0"/>
              <w:pBdr>
                <w:top w:val="nil"/>
                <w:left w:val="nil"/>
                <w:bottom w:val="nil"/>
                <w:right w:val="nil"/>
                <w:between w:val="nil"/>
              </w:pBdr>
              <w:spacing w:line="240" w:lineRule="auto"/>
              <w:jc w:val="both"/>
              <w:rPr>
                <w:sz w:val="24"/>
                <w:szCs w:val="24"/>
                <w:highlight w:val="white"/>
              </w:rPr>
            </w:pPr>
            <w:r>
              <w:rPr>
                <w:sz w:val="24"/>
                <w:szCs w:val="24"/>
                <w:highlight w:val="white"/>
              </w:rPr>
              <w:t>Predisposing Factors</w:t>
            </w:r>
          </w:p>
          <w:p w14:paraId="1F460EA6" w14:textId="77777777" w:rsidR="00B25AD0" w:rsidRDefault="008C3CF6">
            <w:pPr>
              <w:widowControl w:val="0"/>
              <w:pBdr>
                <w:top w:val="nil"/>
                <w:left w:val="nil"/>
                <w:bottom w:val="nil"/>
                <w:right w:val="nil"/>
                <w:between w:val="nil"/>
              </w:pBdr>
              <w:spacing w:line="240" w:lineRule="auto"/>
              <w:jc w:val="both"/>
              <w:rPr>
                <w:sz w:val="24"/>
                <w:szCs w:val="24"/>
                <w:highlight w:val="white"/>
              </w:rPr>
            </w:pPr>
            <w:r>
              <w:rPr>
                <w:sz w:val="24"/>
                <w:szCs w:val="24"/>
                <w:highlight w:val="white"/>
              </w:rPr>
              <w:lastRenderedPageBreak/>
              <w:t>Triggering Factors</w:t>
            </w:r>
          </w:p>
        </w:tc>
      </w:tr>
    </w:tbl>
    <w:p w14:paraId="4613B725" w14:textId="57F10F52" w:rsidR="00B25AD0" w:rsidRDefault="008C3CF6">
      <w:pPr>
        <w:spacing w:line="480" w:lineRule="auto"/>
        <w:jc w:val="both"/>
        <w:rPr>
          <w:sz w:val="24"/>
          <w:szCs w:val="24"/>
          <w:highlight w:val="white"/>
        </w:rPr>
      </w:pPr>
      <w:commentRangeStart w:id="2"/>
      <w:r>
        <w:rPr>
          <w:b/>
          <w:sz w:val="24"/>
          <w:szCs w:val="24"/>
          <w:highlight w:val="white"/>
        </w:rPr>
        <w:lastRenderedPageBreak/>
        <w:t xml:space="preserve">Tabla 1. </w:t>
      </w:r>
      <w:r>
        <w:rPr>
          <w:sz w:val="24"/>
          <w:szCs w:val="24"/>
          <w:highlight w:val="white"/>
        </w:rPr>
        <w:t>Tabla de conceptos para la búsqueda.</w:t>
      </w:r>
      <w:commentRangeEnd w:id="2"/>
      <w:r w:rsidR="008679D1">
        <w:rPr>
          <w:rStyle w:val="Refdecomentario"/>
        </w:rPr>
        <w:commentReference w:id="2"/>
      </w:r>
    </w:p>
    <w:p w14:paraId="55E5B38D" w14:textId="77777777" w:rsidR="007D4556" w:rsidRDefault="007D4556">
      <w:pPr>
        <w:spacing w:line="480" w:lineRule="auto"/>
        <w:jc w:val="both"/>
        <w:rPr>
          <w:sz w:val="24"/>
          <w:szCs w:val="24"/>
          <w:highlight w:val="white"/>
        </w:rPr>
      </w:pPr>
    </w:p>
    <w:p w14:paraId="7D65DC75" w14:textId="77777777" w:rsidR="00B25AD0" w:rsidRDefault="008C3CF6">
      <w:pPr>
        <w:spacing w:line="480" w:lineRule="auto"/>
        <w:jc w:val="both"/>
        <w:rPr>
          <w:sz w:val="24"/>
          <w:szCs w:val="24"/>
          <w:highlight w:val="white"/>
        </w:rPr>
      </w:pPr>
      <w:r>
        <w:rPr>
          <w:sz w:val="24"/>
          <w:szCs w:val="24"/>
          <w:highlight w:val="white"/>
        </w:rPr>
        <w:t xml:space="preserve">A través de la </w:t>
      </w:r>
      <w:commentRangeStart w:id="3"/>
      <w:r>
        <w:rPr>
          <w:sz w:val="24"/>
          <w:szCs w:val="24"/>
          <w:highlight w:val="white"/>
        </w:rPr>
        <w:t xml:space="preserve">búsqueda en las diferentes bases </w:t>
      </w:r>
      <w:commentRangeEnd w:id="3"/>
      <w:r w:rsidR="008679D1">
        <w:rPr>
          <w:rStyle w:val="Refdecomentario"/>
        </w:rPr>
        <w:commentReference w:id="3"/>
      </w:r>
      <w:r>
        <w:rPr>
          <w:sz w:val="24"/>
          <w:szCs w:val="24"/>
          <w:highlight w:val="white"/>
        </w:rPr>
        <w:t xml:space="preserve">de datos, se encontraron 26.063 artículos, de los cuales 24 fueron elegidos por título y resumen. De estos 24 artículos seleccionados se revisó en cada uno de ellos el texto completo para elegir los que tuvieran directa relación con la pregunta de investigación, de los que se conservaron 17 textos para llevar a cabo esta revisión narrativa. A partir de esto, se recuperaron 13 estudios más, para un total </w:t>
      </w:r>
      <w:r>
        <w:rPr>
          <w:sz w:val="24"/>
          <w:szCs w:val="24"/>
        </w:rPr>
        <w:t>de 30 artículos,</w:t>
      </w:r>
      <w:r>
        <w:rPr>
          <w:sz w:val="24"/>
          <w:szCs w:val="24"/>
          <w:highlight w:val="white"/>
        </w:rPr>
        <w:t xml:space="preserve"> ya que cumplían con los siguientes criterios de inclusión: publicados en el período 2016-2021, en idioma inglés, español y portugués, realizados en personas mayores de 65 años, que incluyan conceptos de “delirio”, “factores precipitantes” y “Unidades de Cuidados Intensivos”. Los criterios de exclusión fueron: estudios en personas con trastornos neurológicos, estudios exclusivos de una patología o en el uso de un medicamento en específico.</w:t>
      </w:r>
    </w:p>
    <w:p w14:paraId="7389C288" w14:textId="2A1FC891" w:rsidR="00B25AD0" w:rsidRDefault="008C3CF6">
      <w:pPr>
        <w:spacing w:line="480" w:lineRule="auto"/>
        <w:jc w:val="both"/>
        <w:rPr>
          <w:sz w:val="24"/>
          <w:szCs w:val="24"/>
          <w:highlight w:val="white"/>
        </w:rPr>
      </w:pPr>
      <w:r>
        <w:rPr>
          <w:sz w:val="24"/>
          <w:szCs w:val="24"/>
          <w:highlight w:val="white"/>
        </w:rPr>
        <w:t xml:space="preserve">Después de la selección, se procedió a la lectura crítica con ayuda de las referencias entregadas por las “Critical Appraisal Skills Programme Español” (Guías CASPe). </w:t>
      </w:r>
    </w:p>
    <w:p w14:paraId="205E2C08" w14:textId="77777777" w:rsidR="007D4556" w:rsidRDefault="007D4556">
      <w:pPr>
        <w:spacing w:line="480" w:lineRule="auto"/>
        <w:jc w:val="both"/>
        <w:rPr>
          <w:sz w:val="24"/>
          <w:szCs w:val="24"/>
          <w:highlight w:val="white"/>
        </w:rPr>
      </w:pPr>
    </w:p>
    <w:p w14:paraId="06F8E38E" w14:textId="77777777" w:rsidR="00B25AD0" w:rsidRDefault="008C3CF6">
      <w:pPr>
        <w:numPr>
          <w:ilvl w:val="1"/>
          <w:numId w:val="2"/>
        </w:numPr>
        <w:spacing w:line="480" w:lineRule="auto"/>
        <w:jc w:val="both"/>
        <w:rPr>
          <w:b/>
          <w:sz w:val="24"/>
          <w:szCs w:val="24"/>
          <w:highlight w:val="white"/>
        </w:rPr>
      </w:pPr>
      <w:r>
        <w:rPr>
          <w:b/>
          <w:sz w:val="24"/>
          <w:szCs w:val="24"/>
          <w:highlight w:val="white"/>
        </w:rPr>
        <w:t>Resultados</w:t>
      </w:r>
    </w:p>
    <w:p w14:paraId="153E73B7" w14:textId="77777777" w:rsidR="00B25AD0" w:rsidRDefault="008C3CF6">
      <w:pPr>
        <w:spacing w:line="480" w:lineRule="auto"/>
        <w:jc w:val="both"/>
        <w:rPr>
          <w:sz w:val="24"/>
          <w:szCs w:val="24"/>
          <w:highlight w:val="white"/>
        </w:rPr>
      </w:pPr>
      <w:r>
        <w:rPr>
          <w:sz w:val="24"/>
          <w:szCs w:val="24"/>
          <w:highlight w:val="white"/>
        </w:rPr>
        <w:t>Los 17 artículos utilizados en esta revisión narrativa pueden clasificarse de acuerdo a diferentes criterios. En cuanto al tipo de síntesis, 3 estudios corresponden a síntesis cuantitativa, 7 a síntesis de revisión y otros 7 a cohorte. En relación a los idiomas de los artículos fueron</w:t>
      </w:r>
      <w:r>
        <w:rPr>
          <w:sz w:val="24"/>
          <w:szCs w:val="24"/>
        </w:rPr>
        <w:t xml:space="preserve">, inglés, portugués y español. </w:t>
      </w:r>
      <w:r>
        <w:rPr>
          <w:sz w:val="24"/>
          <w:szCs w:val="24"/>
          <w:highlight w:val="white"/>
        </w:rPr>
        <w:t xml:space="preserve">Por último, el país de origen de estos artículos son Brasil (2 artículos), Chile (1 artículo), Colombia (3 artículos), España (3 </w:t>
      </w:r>
      <w:r>
        <w:rPr>
          <w:sz w:val="24"/>
          <w:szCs w:val="24"/>
          <w:highlight w:val="white"/>
        </w:rPr>
        <w:lastRenderedPageBreak/>
        <w:t xml:space="preserve">articulos), Estados Unidos (1 artículo), Italia (2 artículos) y Países Bajos (3 artículos) y, con filtros del año 2016 al año 2021. </w:t>
      </w:r>
    </w:p>
    <w:p w14:paraId="17E9DEA4" w14:textId="77777777" w:rsidR="00B25AD0" w:rsidRDefault="008C3CF6">
      <w:pPr>
        <w:spacing w:line="480" w:lineRule="auto"/>
        <w:jc w:val="both"/>
        <w:rPr>
          <w:sz w:val="24"/>
          <w:szCs w:val="24"/>
          <w:highlight w:val="white"/>
        </w:rPr>
      </w:pPr>
      <w:r>
        <w:rPr>
          <w:sz w:val="24"/>
          <w:szCs w:val="24"/>
          <w:highlight w:val="white"/>
        </w:rPr>
        <w:t>De estos artículos, 16 definen “delirio” como un trastorno neuropsiquiátrico que altera la conciencia, orientación, atención y percepción de la persona; 1 artículo no define delirio en su investigación, pero sí es estudiado.</w:t>
      </w:r>
    </w:p>
    <w:p w14:paraId="020F0509" w14:textId="77777777" w:rsidR="00B25AD0" w:rsidRDefault="008C3CF6">
      <w:pPr>
        <w:spacing w:line="480" w:lineRule="auto"/>
        <w:jc w:val="both"/>
        <w:rPr>
          <w:sz w:val="24"/>
          <w:szCs w:val="24"/>
          <w:highlight w:val="white"/>
        </w:rPr>
      </w:pPr>
      <w:r>
        <w:rPr>
          <w:sz w:val="24"/>
          <w:szCs w:val="24"/>
          <w:highlight w:val="white"/>
        </w:rPr>
        <w:t>De la misma manera, 12 de estos 17 artículos no definen “adulto mayor” pero sí son mencionados como sujetos de estudio, 4 artículos definen y especifican que la edad más frecuente del desarrollo del delirio es sobre los 80 años</w:t>
      </w:r>
      <w:r w:rsidRPr="007D4556">
        <w:rPr>
          <w:sz w:val="24"/>
          <w:szCs w:val="24"/>
          <w:highlight w:val="yellow"/>
          <w:vertAlign w:val="superscript"/>
        </w:rPr>
        <w:t>15, 16, 24, 25</w:t>
      </w:r>
      <w:r>
        <w:rPr>
          <w:sz w:val="24"/>
          <w:szCs w:val="24"/>
          <w:highlight w:val="white"/>
        </w:rPr>
        <w:t>; mientras que 1 artículo menciona que el delirio se predispone sobre los 70 años de edad en usuarios hospitalizados</w:t>
      </w:r>
      <w:r>
        <w:rPr>
          <w:sz w:val="24"/>
          <w:szCs w:val="24"/>
          <w:highlight w:val="white"/>
          <w:vertAlign w:val="superscript"/>
        </w:rPr>
        <w:t>19</w:t>
      </w:r>
      <w:r>
        <w:rPr>
          <w:sz w:val="24"/>
          <w:szCs w:val="24"/>
          <w:highlight w:val="white"/>
        </w:rPr>
        <w:t>.</w:t>
      </w:r>
    </w:p>
    <w:p w14:paraId="1540DA60" w14:textId="77777777" w:rsidR="00B25AD0" w:rsidRDefault="008C3CF6">
      <w:pPr>
        <w:spacing w:line="480" w:lineRule="auto"/>
        <w:jc w:val="both"/>
        <w:rPr>
          <w:sz w:val="24"/>
          <w:szCs w:val="24"/>
        </w:rPr>
      </w:pPr>
      <w:r>
        <w:rPr>
          <w:sz w:val="24"/>
          <w:szCs w:val="24"/>
          <w:highlight w:val="white"/>
        </w:rPr>
        <w:t xml:space="preserve">Por su parte, el concepto “Unidad de Cuidados Intensivos” es definido en 4 de 17 artículos; 3 </w:t>
      </w:r>
      <w:r>
        <w:rPr>
          <w:sz w:val="24"/>
          <w:szCs w:val="24"/>
        </w:rPr>
        <w:t>artículos coinciden en que son unidades muy especializadas que crean un ambiente estresante y que proporcionan factores de riesgo para el delirio por el uso de tecnología dura y ambientes cerrados,</w:t>
      </w:r>
      <w:r>
        <w:rPr>
          <w:sz w:val="24"/>
          <w:szCs w:val="24"/>
          <w:highlight w:val="white"/>
        </w:rPr>
        <w:t xml:space="preserve"> además de que t</w:t>
      </w:r>
      <w:r>
        <w:rPr>
          <w:sz w:val="24"/>
          <w:szCs w:val="24"/>
        </w:rPr>
        <w:t>iende a romper la conexión de la persona con su entorno, lo que conlleva a que esta dependa de un cuidado humanizado como eje central</w:t>
      </w:r>
      <w:r>
        <w:rPr>
          <w:sz w:val="24"/>
          <w:szCs w:val="24"/>
          <w:vertAlign w:val="superscript"/>
        </w:rPr>
        <w:t>17, 21, 23</w:t>
      </w:r>
      <w:r>
        <w:rPr>
          <w:sz w:val="24"/>
          <w:szCs w:val="24"/>
        </w:rPr>
        <w:t>. Otro artículo define “UCI” como el lugar donde se encuentran pacientes cuyo estado de salud se encuentra gravemente comprometido por una alteración fisiológica normal del organismo que condiciona al paciente a un riesgo elevado de muerte</w:t>
      </w:r>
      <w:r>
        <w:rPr>
          <w:sz w:val="24"/>
          <w:szCs w:val="24"/>
          <w:vertAlign w:val="superscript"/>
        </w:rPr>
        <w:t>14</w:t>
      </w:r>
      <w:r>
        <w:rPr>
          <w:sz w:val="24"/>
          <w:szCs w:val="24"/>
        </w:rPr>
        <w:t xml:space="preserve">. </w:t>
      </w:r>
      <w:commentRangeStart w:id="4"/>
      <w:r>
        <w:rPr>
          <w:sz w:val="24"/>
          <w:szCs w:val="24"/>
        </w:rPr>
        <w:t>Y en 13 artículos se menciona “UCI” como un lugar de alta incidencia de delirio.</w:t>
      </w:r>
      <w:commentRangeEnd w:id="4"/>
      <w:r w:rsidR="008679D1">
        <w:rPr>
          <w:rStyle w:val="Refdecomentario"/>
        </w:rPr>
        <w:commentReference w:id="4"/>
      </w:r>
      <w:r>
        <w:rPr>
          <w:sz w:val="24"/>
          <w:szCs w:val="24"/>
        </w:rPr>
        <w:br/>
        <w:t xml:space="preserve">En la siguiente tabla se muestran los factores precipitantes de delirio evidenciados en 14 de los 17 artículos. Estos están ordenados y priorizados por la frecuencia con que aparecen los factores en los estudios revisados. Además, se encuentran agrupados en categorías con el fin de sintetizar los resultados obtenidos de una forma global, </w:t>
      </w:r>
      <w:r>
        <w:rPr>
          <w:sz w:val="24"/>
          <w:szCs w:val="24"/>
        </w:rPr>
        <w:lastRenderedPageBreak/>
        <w:t>permitiendo una mejor visualización de estos para su análisis. Es necesario mencionar que aquellos factores precipitantes que fueron nombrados en solo un artículo, no fueron incluidos en esta investigación ya que no se consideran relevantes para el objetivo planteado.</w:t>
      </w:r>
    </w:p>
    <w:tbl>
      <w:tblPr>
        <w:tblStyle w:val="a0"/>
        <w:tblW w:w="9240" w:type="dxa"/>
        <w:tblInd w:w="-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65"/>
        <w:gridCol w:w="2475"/>
        <w:gridCol w:w="1755"/>
        <w:gridCol w:w="1710"/>
        <w:gridCol w:w="1335"/>
      </w:tblGrid>
      <w:tr w:rsidR="00B25AD0" w14:paraId="3AB1FD2E" w14:textId="77777777">
        <w:tc>
          <w:tcPr>
            <w:tcW w:w="1965" w:type="dxa"/>
            <w:shd w:val="clear" w:color="auto" w:fill="auto"/>
            <w:tcMar>
              <w:top w:w="100" w:type="dxa"/>
              <w:left w:w="100" w:type="dxa"/>
              <w:bottom w:w="100" w:type="dxa"/>
              <w:right w:w="100" w:type="dxa"/>
            </w:tcMar>
          </w:tcPr>
          <w:p w14:paraId="74065FE1" w14:textId="77777777" w:rsidR="00B25AD0" w:rsidRDefault="008C3CF6">
            <w:pPr>
              <w:widowControl w:val="0"/>
              <w:pBdr>
                <w:top w:val="nil"/>
                <w:left w:val="nil"/>
                <w:bottom w:val="nil"/>
                <w:right w:val="nil"/>
                <w:between w:val="nil"/>
              </w:pBdr>
              <w:spacing w:line="240" w:lineRule="auto"/>
              <w:jc w:val="both"/>
              <w:rPr>
                <w:b/>
              </w:rPr>
            </w:pPr>
            <w:r>
              <w:rPr>
                <w:b/>
              </w:rPr>
              <w:t>Categoría</w:t>
            </w:r>
          </w:p>
        </w:tc>
        <w:tc>
          <w:tcPr>
            <w:tcW w:w="2475" w:type="dxa"/>
            <w:shd w:val="clear" w:color="auto" w:fill="auto"/>
            <w:tcMar>
              <w:top w:w="100" w:type="dxa"/>
              <w:left w:w="100" w:type="dxa"/>
              <w:bottom w:w="100" w:type="dxa"/>
              <w:right w:w="100" w:type="dxa"/>
            </w:tcMar>
          </w:tcPr>
          <w:p w14:paraId="339924C3" w14:textId="77777777" w:rsidR="00B25AD0" w:rsidRDefault="008C3CF6">
            <w:pPr>
              <w:widowControl w:val="0"/>
              <w:pBdr>
                <w:top w:val="nil"/>
                <w:left w:val="nil"/>
                <w:bottom w:val="nil"/>
                <w:right w:val="nil"/>
                <w:between w:val="nil"/>
              </w:pBdr>
              <w:spacing w:line="240" w:lineRule="auto"/>
              <w:jc w:val="both"/>
              <w:rPr>
                <w:b/>
              </w:rPr>
            </w:pPr>
            <w:r>
              <w:rPr>
                <w:b/>
              </w:rPr>
              <w:t>Factores precipitantes</w:t>
            </w:r>
          </w:p>
        </w:tc>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5242795" w14:textId="77777777" w:rsidR="00B25AD0" w:rsidRDefault="008C3CF6">
            <w:pPr>
              <w:widowControl w:val="0"/>
              <w:spacing w:line="240" w:lineRule="auto"/>
              <w:jc w:val="both"/>
              <w:rPr>
                <w:b/>
              </w:rPr>
            </w:pPr>
            <w:r>
              <w:rPr>
                <w:b/>
              </w:rPr>
              <w:t>Estudios en los que aparece cada factor</w:t>
            </w:r>
          </w:p>
        </w:tc>
        <w:tc>
          <w:tcPr>
            <w:tcW w:w="17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70F3155" w14:textId="77777777" w:rsidR="00B25AD0" w:rsidRDefault="008C3CF6">
            <w:pPr>
              <w:widowControl w:val="0"/>
              <w:spacing w:line="240" w:lineRule="auto"/>
              <w:jc w:val="both"/>
              <w:rPr>
                <w:b/>
              </w:rPr>
            </w:pPr>
            <w:r>
              <w:rPr>
                <w:b/>
              </w:rPr>
              <w:t>Cantidad de estudios en los que aparece cada factor</w:t>
            </w:r>
          </w:p>
        </w:tc>
        <w:tc>
          <w:tcPr>
            <w:tcW w:w="1335" w:type="dxa"/>
            <w:shd w:val="clear" w:color="auto" w:fill="auto"/>
            <w:tcMar>
              <w:top w:w="100" w:type="dxa"/>
              <w:left w:w="100" w:type="dxa"/>
              <w:bottom w:w="100" w:type="dxa"/>
              <w:right w:w="100" w:type="dxa"/>
            </w:tcMar>
          </w:tcPr>
          <w:p w14:paraId="0CE4582F" w14:textId="77777777" w:rsidR="00B25AD0" w:rsidRDefault="008C3CF6">
            <w:pPr>
              <w:widowControl w:val="0"/>
              <w:pBdr>
                <w:top w:val="nil"/>
                <w:left w:val="nil"/>
                <w:bottom w:val="nil"/>
                <w:right w:val="nil"/>
                <w:between w:val="nil"/>
              </w:pBdr>
              <w:spacing w:line="240" w:lineRule="auto"/>
              <w:jc w:val="both"/>
              <w:rPr>
                <w:b/>
              </w:rPr>
            </w:pPr>
            <w:r>
              <w:rPr>
                <w:b/>
              </w:rPr>
              <w:t>Número y porcentaje total de</w:t>
            </w:r>
          </w:p>
          <w:p w14:paraId="2F17AF6F" w14:textId="77777777" w:rsidR="00B25AD0" w:rsidRDefault="008C3CF6">
            <w:pPr>
              <w:widowControl w:val="0"/>
              <w:pBdr>
                <w:top w:val="nil"/>
                <w:left w:val="nil"/>
                <w:bottom w:val="nil"/>
                <w:right w:val="nil"/>
                <w:between w:val="nil"/>
              </w:pBdr>
              <w:spacing w:line="240" w:lineRule="auto"/>
              <w:jc w:val="both"/>
              <w:rPr>
                <w:b/>
              </w:rPr>
            </w:pPr>
            <w:r>
              <w:rPr>
                <w:b/>
              </w:rPr>
              <w:t>artículos</w:t>
            </w:r>
          </w:p>
        </w:tc>
      </w:tr>
      <w:tr w:rsidR="00B25AD0" w14:paraId="2A049111" w14:textId="77777777">
        <w:trPr>
          <w:trHeight w:val="440"/>
        </w:trPr>
        <w:tc>
          <w:tcPr>
            <w:tcW w:w="1965" w:type="dxa"/>
            <w:vMerge w:val="restart"/>
            <w:shd w:val="clear" w:color="auto" w:fill="auto"/>
            <w:tcMar>
              <w:top w:w="100" w:type="dxa"/>
              <w:left w:w="100" w:type="dxa"/>
              <w:bottom w:w="100" w:type="dxa"/>
              <w:right w:w="100" w:type="dxa"/>
            </w:tcMar>
          </w:tcPr>
          <w:p w14:paraId="594AAEF7" w14:textId="77777777" w:rsidR="00B25AD0" w:rsidRDefault="00B25AD0">
            <w:pPr>
              <w:widowControl w:val="0"/>
              <w:pBdr>
                <w:top w:val="nil"/>
                <w:left w:val="nil"/>
                <w:bottom w:val="nil"/>
                <w:right w:val="nil"/>
                <w:between w:val="nil"/>
              </w:pBdr>
              <w:spacing w:line="240" w:lineRule="auto"/>
              <w:jc w:val="both"/>
              <w:rPr>
                <w:b/>
              </w:rPr>
            </w:pPr>
          </w:p>
          <w:p w14:paraId="21273118" w14:textId="77777777" w:rsidR="00B25AD0" w:rsidRDefault="00B25AD0">
            <w:pPr>
              <w:widowControl w:val="0"/>
              <w:pBdr>
                <w:top w:val="nil"/>
                <w:left w:val="nil"/>
                <w:bottom w:val="nil"/>
                <w:right w:val="nil"/>
                <w:between w:val="nil"/>
              </w:pBdr>
              <w:spacing w:line="240" w:lineRule="auto"/>
              <w:jc w:val="both"/>
              <w:rPr>
                <w:b/>
              </w:rPr>
            </w:pPr>
          </w:p>
          <w:p w14:paraId="779326C1" w14:textId="77777777" w:rsidR="00B25AD0" w:rsidRDefault="00B25AD0">
            <w:pPr>
              <w:widowControl w:val="0"/>
              <w:pBdr>
                <w:top w:val="nil"/>
                <w:left w:val="nil"/>
                <w:bottom w:val="nil"/>
                <w:right w:val="nil"/>
                <w:between w:val="nil"/>
              </w:pBdr>
              <w:spacing w:line="240" w:lineRule="auto"/>
              <w:jc w:val="both"/>
              <w:rPr>
                <w:b/>
              </w:rPr>
            </w:pPr>
          </w:p>
          <w:p w14:paraId="6342AD6D" w14:textId="77777777" w:rsidR="00B25AD0" w:rsidRDefault="00B25AD0">
            <w:pPr>
              <w:widowControl w:val="0"/>
              <w:pBdr>
                <w:top w:val="nil"/>
                <w:left w:val="nil"/>
                <w:bottom w:val="nil"/>
                <w:right w:val="nil"/>
                <w:between w:val="nil"/>
              </w:pBdr>
              <w:spacing w:line="240" w:lineRule="auto"/>
              <w:jc w:val="both"/>
              <w:rPr>
                <w:b/>
              </w:rPr>
            </w:pPr>
          </w:p>
          <w:p w14:paraId="10041D6B" w14:textId="77777777" w:rsidR="00B25AD0" w:rsidRDefault="00B25AD0">
            <w:pPr>
              <w:widowControl w:val="0"/>
              <w:pBdr>
                <w:top w:val="nil"/>
                <w:left w:val="nil"/>
                <w:bottom w:val="nil"/>
                <w:right w:val="nil"/>
                <w:between w:val="nil"/>
              </w:pBdr>
              <w:spacing w:line="240" w:lineRule="auto"/>
              <w:jc w:val="both"/>
              <w:rPr>
                <w:b/>
              </w:rPr>
            </w:pPr>
          </w:p>
          <w:p w14:paraId="08E95E27" w14:textId="77777777" w:rsidR="00B25AD0" w:rsidRDefault="00B25AD0">
            <w:pPr>
              <w:widowControl w:val="0"/>
              <w:pBdr>
                <w:top w:val="nil"/>
                <w:left w:val="nil"/>
                <w:bottom w:val="nil"/>
                <w:right w:val="nil"/>
                <w:between w:val="nil"/>
              </w:pBdr>
              <w:spacing w:line="240" w:lineRule="auto"/>
              <w:jc w:val="both"/>
              <w:rPr>
                <w:b/>
              </w:rPr>
            </w:pPr>
          </w:p>
          <w:p w14:paraId="7BCDAE32" w14:textId="77777777" w:rsidR="00B25AD0" w:rsidRDefault="008C3CF6">
            <w:pPr>
              <w:widowControl w:val="0"/>
              <w:pBdr>
                <w:top w:val="nil"/>
                <w:left w:val="nil"/>
                <w:bottom w:val="nil"/>
                <w:right w:val="nil"/>
                <w:between w:val="nil"/>
              </w:pBdr>
              <w:spacing w:line="240" w:lineRule="auto"/>
              <w:jc w:val="both"/>
            </w:pPr>
            <w:r>
              <w:rPr>
                <w:b/>
              </w:rPr>
              <w:t>Factores fisiopatológicos</w:t>
            </w:r>
          </w:p>
        </w:tc>
        <w:tc>
          <w:tcPr>
            <w:tcW w:w="2475" w:type="dxa"/>
            <w:shd w:val="clear" w:color="auto" w:fill="auto"/>
            <w:tcMar>
              <w:top w:w="100" w:type="dxa"/>
              <w:left w:w="100" w:type="dxa"/>
              <w:bottom w:w="100" w:type="dxa"/>
              <w:right w:w="100" w:type="dxa"/>
            </w:tcMar>
          </w:tcPr>
          <w:p w14:paraId="1CA09E91" w14:textId="77777777" w:rsidR="00B25AD0" w:rsidRDefault="008C3CF6">
            <w:pPr>
              <w:widowControl w:val="0"/>
              <w:pBdr>
                <w:top w:val="nil"/>
                <w:left w:val="nil"/>
                <w:bottom w:val="nil"/>
                <w:right w:val="nil"/>
                <w:between w:val="nil"/>
              </w:pBdr>
              <w:spacing w:line="240" w:lineRule="auto"/>
              <w:jc w:val="both"/>
              <w:rPr>
                <w:sz w:val="24"/>
                <w:szCs w:val="24"/>
              </w:rPr>
            </w:pPr>
            <w:r>
              <w:rPr>
                <w:sz w:val="24"/>
                <w:szCs w:val="24"/>
              </w:rPr>
              <w:t>Infecciones</w:t>
            </w:r>
          </w:p>
        </w:tc>
        <w:tc>
          <w:tcPr>
            <w:tcW w:w="1755" w:type="dxa"/>
            <w:shd w:val="clear" w:color="auto" w:fill="auto"/>
            <w:tcMar>
              <w:top w:w="100" w:type="dxa"/>
              <w:left w:w="100" w:type="dxa"/>
              <w:bottom w:w="100" w:type="dxa"/>
              <w:right w:w="100" w:type="dxa"/>
            </w:tcMar>
          </w:tcPr>
          <w:p w14:paraId="58EFD174" w14:textId="77777777" w:rsidR="00B25AD0" w:rsidRDefault="008C3CF6">
            <w:pPr>
              <w:widowControl w:val="0"/>
              <w:pBdr>
                <w:top w:val="nil"/>
                <w:left w:val="nil"/>
                <w:bottom w:val="nil"/>
                <w:right w:val="nil"/>
                <w:between w:val="nil"/>
              </w:pBdr>
              <w:spacing w:line="240" w:lineRule="auto"/>
              <w:jc w:val="both"/>
              <w:rPr>
                <w:sz w:val="24"/>
                <w:szCs w:val="24"/>
              </w:rPr>
            </w:pPr>
            <w:r>
              <w:rPr>
                <w:sz w:val="24"/>
                <w:szCs w:val="24"/>
              </w:rPr>
              <w:t>14, 16, 23, 24, 25, 27</w:t>
            </w:r>
          </w:p>
        </w:tc>
        <w:tc>
          <w:tcPr>
            <w:tcW w:w="1710" w:type="dxa"/>
            <w:shd w:val="clear" w:color="auto" w:fill="auto"/>
            <w:tcMar>
              <w:top w:w="100" w:type="dxa"/>
              <w:left w:w="100" w:type="dxa"/>
              <w:bottom w:w="100" w:type="dxa"/>
              <w:right w:w="100" w:type="dxa"/>
            </w:tcMar>
          </w:tcPr>
          <w:p w14:paraId="03433280" w14:textId="77777777" w:rsidR="00B25AD0" w:rsidRDefault="008C3CF6">
            <w:pPr>
              <w:widowControl w:val="0"/>
              <w:pBdr>
                <w:top w:val="nil"/>
                <w:left w:val="nil"/>
                <w:bottom w:val="nil"/>
                <w:right w:val="nil"/>
                <w:between w:val="nil"/>
              </w:pBdr>
              <w:spacing w:line="240" w:lineRule="auto"/>
              <w:jc w:val="both"/>
              <w:rPr>
                <w:sz w:val="24"/>
                <w:szCs w:val="24"/>
              </w:rPr>
            </w:pPr>
            <w:r>
              <w:rPr>
                <w:sz w:val="24"/>
                <w:szCs w:val="24"/>
              </w:rPr>
              <w:t>6</w:t>
            </w:r>
          </w:p>
        </w:tc>
        <w:tc>
          <w:tcPr>
            <w:tcW w:w="1335" w:type="dxa"/>
            <w:vMerge w:val="restart"/>
            <w:shd w:val="clear" w:color="auto" w:fill="auto"/>
            <w:tcMar>
              <w:top w:w="100" w:type="dxa"/>
              <w:left w:w="100" w:type="dxa"/>
              <w:bottom w:w="100" w:type="dxa"/>
              <w:right w:w="100" w:type="dxa"/>
            </w:tcMar>
          </w:tcPr>
          <w:p w14:paraId="43F5066E" w14:textId="77777777" w:rsidR="00B25AD0" w:rsidRDefault="008C3CF6">
            <w:pPr>
              <w:widowControl w:val="0"/>
              <w:pBdr>
                <w:top w:val="nil"/>
                <w:left w:val="nil"/>
                <w:bottom w:val="nil"/>
                <w:right w:val="nil"/>
                <w:between w:val="nil"/>
              </w:pBdr>
              <w:spacing w:line="240" w:lineRule="auto"/>
              <w:jc w:val="both"/>
              <w:rPr>
                <w:sz w:val="24"/>
                <w:szCs w:val="24"/>
              </w:rPr>
            </w:pPr>
            <w:r>
              <w:rPr>
                <w:sz w:val="24"/>
                <w:szCs w:val="24"/>
              </w:rPr>
              <w:t>9 (25,7%)</w:t>
            </w:r>
          </w:p>
        </w:tc>
      </w:tr>
      <w:tr w:rsidR="00B25AD0" w14:paraId="32D96EC1" w14:textId="77777777">
        <w:trPr>
          <w:trHeight w:val="440"/>
        </w:trPr>
        <w:tc>
          <w:tcPr>
            <w:tcW w:w="1965" w:type="dxa"/>
            <w:vMerge/>
            <w:shd w:val="clear" w:color="auto" w:fill="auto"/>
            <w:tcMar>
              <w:top w:w="100" w:type="dxa"/>
              <w:left w:w="100" w:type="dxa"/>
              <w:bottom w:w="100" w:type="dxa"/>
              <w:right w:w="100" w:type="dxa"/>
            </w:tcMar>
          </w:tcPr>
          <w:p w14:paraId="0C3E0143" w14:textId="77777777" w:rsidR="00B25AD0" w:rsidRDefault="00B25AD0">
            <w:pPr>
              <w:widowControl w:val="0"/>
              <w:pBdr>
                <w:top w:val="nil"/>
                <w:left w:val="nil"/>
                <w:bottom w:val="nil"/>
                <w:right w:val="nil"/>
                <w:between w:val="nil"/>
              </w:pBdr>
              <w:spacing w:line="480" w:lineRule="auto"/>
              <w:jc w:val="both"/>
              <w:rPr>
                <w:sz w:val="24"/>
                <w:szCs w:val="24"/>
              </w:rPr>
            </w:pPr>
          </w:p>
        </w:tc>
        <w:tc>
          <w:tcPr>
            <w:tcW w:w="2475" w:type="dxa"/>
            <w:shd w:val="clear" w:color="auto" w:fill="auto"/>
            <w:tcMar>
              <w:top w:w="100" w:type="dxa"/>
              <w:left w:w="100" w:type="dxa"/>
              <w:bottom w:w="100" w:type="dxa"/>
              <w:right w:w="100" w:type="dxa"/>
            </w:tcMar>
          </w:tcPr>
          <w:p w14:paraId="41C310C7" w14:textId="77777777" w:rsidR="00B25AD0" w:rsidRDefault="008C3CF6">
            <w:pPr>
              <w:widowControl w:val="0"/>
              <w:pBdr>
                <w:top w:val="nil"/>
                <w:left w:val="nil"/>
                <w:bottom w:val="nil"/>
                <w:right w:val="nil"/>
                <w:between w:val="nil"/>
              </w:pBdr>
              <w:spacing w:line="240" w:lineRule="auto"/>
              <w:jc w:val="both"/>
              <w:rPr>
                <w:sz w:val="24"/>
                <w:szCs w:val="24"/>
              </w:rPr>
            </w:pPr>
            <w:r>
              <w:rPr>
                <w:sz w:val="24"/>
                <w:szCs w:val="24"/>
              </w:rPr>
              <w:t>Sepsis</w:t>
            </w:r>
          </w:p>
        </w:tc>
        <w:tc>
          <w:tcPr>
            <w:tcW w:w="1755" w:type="dxa"/>
            <w:shd w:val="clear" w:color="auto" w:fill="auto"/>
            <w:tcMar>
              <w:top w:w="100" w:type="dxa"/>
              <w:left w:w="100" w:type="dxa"/>
              <w:bottom w:w="100" w:type="dxa"/>
              <w:right w:w="100" w:type="dxa"/>
            </w:tcMar>
          </w:tcPr>
          <w:p w14:paraId="736766ED" w14:textId="77777777" w:rsidR="00B25AD0" w:rsidRDefault="008C3CF6">
            <w:pPr>
              <w:widowControl w:val="0"/>
              <w:pBdr>
                <w:top w:val="nil"/>
                <w:left w:val="nil"/>
                <w:bottom w:val="nil"/>
                <w:right w:val="nil"/>
                <w:between w:val="nil"/>
              </w:pBdr>
              <w:spacing w:line="240" w:lineRule="auto"/>
              <w:jc w:val="both"/>
              <w:rPr>
                <w:sz w:val="24"/>
                <w:szCs w:val="24"/>
              </w:rPr>
            </w:pPr>
            <w:r>
              <w:rPr>
                <w:sz w:val="24"/>
                <w:szCs w:val="24"/>
              </w:rPr>
              <w:t>15, 17</w:t>
            </w:r>
          </w:p>
        </w:tc>
        <w:tc>
          <w:tcPr>
            <w:tcW w:w="1710" w:type="dxa"/>
            <w:shd w:val="clear" w:color="auto" w:fill="auto"/>
            <w:tcMar>
              <w:top w:w="100" w:type="dxa"/>
              <w:left w:w="100" w:type="dxa"/>
              <w:bottom w:w="100" w:type="dxa"/>
              <w:right w:w="100" w:type="dxa"/>
            </w:tcMar>
          </w:tcPr>
          <w:p w14:paraId="60E47A9F" w14:textId="77777777" w:rsidR="00B25AD0" w:rsidRDefault="008C3CF6">
            <w:pPr>
              <w:widowControl w:val="0"/>
              <w:pBdr>
                <w:top w:val="nil"/>
                <w:left w:val="nil"/>
                <w:bottom w:val="nil"/>
                <w:right w:val="nil"/>
                <w:between w:val="nil"/>
              </w:pBdr>
              <w:spacing w:line="240" w:lineRule="auto"/>
              <w:jc w:val="both"/>
              <w:rPr>
                <w:sz w:val="24"/>
                <w:szCs w:val="24"/>
              </w:rPr>
            </w:pPr>
            <w:r>
              <w:rPr>
                <w:sz w:val="24"/>
                <w:szCs w:val="24"/>
              </w:rPr>
              <w:t>2</w:t>
            </w:r>
          </w:p>
        </w:tc>
        <w:tc>
          <w:tcPr>
            <w:tcW w:w="1335" w:type="dxa"/>
            <w:vMerge/>
            <w:shd w:val="clear" w:color="auto" w:fill="auto"/>
            <w:tcMar>
              <w:top w:w="100" w:type="dxa"/>
              <w:left w:w="100" w:type="dxa"/>
              <w:bottom w:w="100" w:type="dxa"/>
              <w:right w:w="100" w:type="dxa"/>
            </w:tcMar>
          </w:tcPr>
          <w:p w14:paraId="38410E96" w14:textId="77777777" w:rsidR="00B25AD0" w:rsidRDefault="00B25AD0">
            <w:pPr>
              <w:widowControl w:val="0"/>
              <w:pBdr>
                <w:top w:val="nil"/>
                <w:left w:val="nil"/>
                <w:bottom w:val="nil"/>
                <w:right w:val="nil"/>
                <w:between w:val="nil"/>
              </w:pBdr>
              <w:spacing w:line="480" w:lineRule="auto"/>
              <w:jc w:val="both"/>
              <w:rPr>
                <w:sz w:val="24"/>
                <w:szCs w:val="24"/>
              </w:rPr>
            </w:pPr>
          </w:p>
        </w:tc>
      </w:tr>
      <w:tr w:rsidR="00B25AD0" w14:paraId="2164C3A9" w14:textId="77777777">
        <w:trPr>
          <w:trHeight w:val="440"/>
        </w:trPr>
        <w:tc>
          <w:tcPr>
            <w:tcW w:w="1965" w:type="dxa"/>
            <w:vMerge/>
            <w:shd w:val="clear" w:color="auto" w:fill="auto"/>
            <w:tcMar>
              <w:top w:w="100" w:type="dxa"/>
              <w:left w:w="100" w:type="dxa"/>
              <w:bottom w:w="100" w:type="dxa"/>
              <w:right w:w="100" w:type="dxa"/>
            </w:tcMar>
          </w:tcPr>
          <w:p w14:paraId="5A7AA8EB" w14:textId="77777777" w:rsidR="00B25AD0" w:rsidRDefault="00B25AD0">
            <w:pPr>
              <w:widowControl w:val="0"/>
              <w:pBdr>
                <w:top w:val="nil"/>
                <w:left w:val="nil"/>
                <w:bottom w:val="nil"/>
                <w:right w:val="nil"/>
                <w:between w:val="nil"/>
              </w:pBdr>
              <w:spacing w:line="480" w:lineRule="auto"/>
              <w:jc w:val="both"/>
              <w:rPr>
                <w:sz w:val="24"/>
                <w:szCs w:val="24"/>
              </w:rPr>
            </w:pPr>
          </w:p>
        </w:tc>
        <w:tc>
          <w:tcPr>
            <w:tcW w:w="2475" w:type="dxa"/>
            <w:shd w:val="clear" w:color="auto" w:fill="auto"/>
            <w:tcMar>
              <w:top w:w="100" w:type="dxa"/>
              <w:left w:w="100" w:type="dxa"/>
              <w:bottom w:w="100" w:type="dxa"/>
              <w:right w:w="100" w:type="dxa"/>
            </w:tcMar>
          </w:tcPr>
          <w:p w14:paraId="2EAF322A" w14:textId="77777777" w:rsidR="00B25AD0" w:rsidRDefault="008C3CF6">
            <w:pPr>
              <w:widowControl w:val="0"/>
              <w:pBdr>
                <w:top w:val="nil"/>
                <w:left w:val="nil"/>
                <w:bottom w:val="nil"/>
                <w:right w:val="nil"/>
                <w:between w:val="nil"/>
              </w:pBdr>
              <w:spacing w:line="240" w:lineRule="auto"/>
              <w:jc w:val="both"/>
              <w:rPr>
                <w:sz w:val="24"/>
                <w:szCs w:val="24"/>
              </w:rPr>
            </w:pPr>
            <w:r>
              <w:rPr>
                <w:sz w:val="24"/>
                <w:szCs w:val="24"/>
              </w:rPr>
              <w:t>Infección renal aguda/ Función renal alterada</w:t>
            </w:r>
          </w:p>
        </w:tc>
        <w:tc>
          <w:tcPr>
            <w:tcW w:w="1755" w:type="dxa"/>
            <w:shd w:val="clear" w:color="auto" w:fill="auto"/>
            <w:tcMar>
              <w:top w:w="100" w:type="dxa"/>
              <w:left w:w="100" w:type="dxa"/>
              <w:bottom w:w="100" w:type="dxa"/>
              <w:right w:w="100" w:type="dxa"/>
            </w:tcMar>
          </w:tcPr>
          <w:p w14:paraId="1224333A" w14:textId="77777777" w:rsidR="00B25AD0" w:rsidRDefault="008C3CF6">
            <w:pPr>
              <w:widowControl w:val="0"/>
              <w:pBdr>
                <w:top w:val="nil"/>
                <w:left w:val="nil"/>
                <w:bottom w:val="nil"/>
                <w:right w:val="nil"/>
                <w:between w:val="nil"/>
              </w:pBdr>
              <w:spacing w:line="240" w:lineRule="auto"/>
              <w:jc w:val="both"/>
              <w:rPr>
                <w:sz w:val="24"/>
                <w:szCs w:val="24"/>
              </w:rPr>
            </w:pPr>
            <w:r>
              <w:rPr>
                <w:sz w:val="24"/>
                <w:szCs w:val="24"/>
              </w:rPr>
              <w:t>15, 27</w:t>
            </w:r>
          </w:p>
        </w:tc>
        <w:tc>
          <w:tcPr>
            <w:tcW w:w="1710" w:type="dxa"/>
            <w:shd w:val="clear" w:color="auto" w:fill="auto"/>
            <w:tcMar>
              <w:top w:w="100" w:type="dxa"/>
              <w:left w:w="100" w:type="dxa"/>
              <w:bottom w:w="100" w:type="dxa"/>
              <w:right w:w="100" w:type="dxa"/>
            </w:tcMar>
          </w:tcPr>
          <w:p w14:paraId="11CDF3DE" w14:textId="77777777" w:rsidR="00B25AD0" w:rsidRDefault="008C3CF6">
            <w:pPr>
              <w:widowControl w:val="0"/>
              <w:pBdr>
                <w:top w:val="nil"/>
                <w:left w:val="nil"/>
                <w:bottom w:val="nil"/>
                <w:right w:val="nil"/>
                <w:between w:val="nil"/>
              </w:pBdr>
              <w:spacing w:line="240" w:lineRule="auto"/>
              <w:jc w:val="both"/>
              <w:rPr>
                <w:sz w:val="24"/>
                <w:szCs w:val="24"/>
              </w:rPr>
            </w:pPr>
            <w:r>
              <w:rPr>
                <w:sz w:val="24"/>
                <w:szCs w:val="24"/>
              </w:rPr>
              <w:t>2</w:t>
            </w:r>
          </w:p>
        </w:tc>
        <w:tc>
          <w:tcPr>
            <w:tcW w:w="1335" w:type="dxa"/>
            <w:vMerge/>
            <w:shd w:val="clear" w:color="auto" w:fill="auto"/>
            <w:tcMar>
              <w:top w:w="100" w:type="dxa"/>
              <w:left w:w="100" w:type="dxa"/>
              <w:bottom w:w="100" w:type="dxa"/>
              <w:right w:w="100" w:type="dxa"/>
            </w:tcMar>
          </w:tcPr>
          <w:p w14:paraId="25113D2E" w14:textId="77777777" w:rsidR="00B25AD0" w:rsidRDefault="00B25AD0">
            <w:pPr>
              <w:widowControl w:val="0"/>
              <w:pBdr>
                <w:top w:val="nil"/>
                <w:left w:val="nil"/>
                <w:bottom w:val="nil"/>
                <w:right w:val="nil"/>
                <w:between w:val="nil"/>
              </w:pBdr>
              <w:spacing w:line="480" w:lineRule="auto"/>
              <w:jc w:val="both"/>
              <w:rPr>
                <w:sz w:val="24"/>
                <w:szCs w:val="24"/>
              </w:rPr>
            </w:pPr>
          </w:p>
        </w:tc>
      </w:tr>
      <w:tr w:rsidR="00B25AD0" w14:paraId="473DAB08" w14:textId="77777777">
        <w:trPr>
          <w:trHeight w:val="440"/>
        </w:trPr>
        <w:tc>
          <w:tcPr>
            <w:tcW w:w="1965" w:type="dxa"/>
            <w:vMerge/>
            <w:shd w:val="clear" w:color="auto" w:fill="auto"/>
            <w:tcMar>
              <w:top w:w="100" w:type="dxa"/>
              <w:left w:w="100" w:type="dxa"/>
              <w:bottom w:w="100" w:type="dxa"/>
              <w:right w:w="100" w:type="dxa"/>
            </w:tcMar>
          </w:tcPr>
          <w:p w14:paraId="31B2FBD8" w14:textId="77777777" w:rsidR="00B25AD0" w:rsidRDefault="00B25AD0">
            <w:pPr>
              <w:widowControl w:val="0"/>
              <w:pBdr>
                <w:top w:val="nil"/>
                <w:left w:val="nil"/>
                <w:bottom w:val="nil"/>
                <w:right w:val="nil"/>
                <w:between w:val="nil"/>
              </w:pBdr>
              <w:spacing w:line="480" w:lineRule="auto"/>
              <w:jc w:val="both"/>
              <w:rPr>
                <w:sz w:val="24"/>
                <w:szCs w:val="24"/>
              </w:rPr>
            </w:pPr>
          </w:p>
        </w:tc>
        <w:tc>
          <w:tcPr>
            <w:tcW w:w="2475" w:type="dxa"/>
            <w:shd w:val="clear" w:color="auto" w:fill="auto"/>
            <w:tcMar>
              <w:top w:w="100" w:type="dxa"/>
              <w:left w:w="100" w:type="dxa"/>
              <w:bottom w:w="100" w:type="dxa"/>
              <w:right w:w="100" w:type="dxa"/>
            </w:tcMar>
          </w:tcPr>
          <w:p w14:paraId="3A7451F4" w14:textId="77777777" w:rsidR="00B25AD0" w:rsidRDefault="008C3CF6">
            <w:pPr>
              <w:widowControl w:val="0"/>
              <w:pBdr>
                <w:top w:val="nil"/>
                <w:left w:val="nil"/>
                <w:bottom w:val="nil"/>
                <w:right w:val="nil"/>
                <w:between w:val="nil"/>
              </w:pBdr>
              <w:spacing w:line="480" w:lineRule="auto"/>
              <w:jc w:val="both"/>
              <w:rPr>
                <w:sz w:val="24"/>
                <w:szCs w:val="24"/>
              </w:rPr>
            </w:pPr>
            <w:r>
              <w:rPr>
                <w:sz w:val="24"/>
                <w:szCs w:val="24"/>
              </w:rPr>
              <w:t>Anemia</w:t>
            </w:r>
          </w:p>
        </w:tc>
        <w:tc>
          <w:tcPr>
            <w:tcW w:w="1755" w:type="dxa"/>
            <w:shd w:val="clear" w:color="auto" w:fill="auto"/>
            <w:tcMar>
              <w:top w:w="100" w:type="dxa"/>
              <w:left w:w="100" w:type="dxa"/>
              <w:bottom w:w="100" w:type="dxa"/>
              <w:right w:w="100" w:type="dxa"/>
            </w:tcMar>
          </w:tcPr>
          <w:p w14:paraId="1B78D83B" w14:textId="77777777" w:rsidR="00B25AD0" w:rsidRDefault="008C3CF6">
            <w:pPr>
              <w:widowControl w:val="0"/>
              <w:pBdr>
                <w:top w:val="nil"/>
                <w:left w:val="nil"/>
                <w:bottom w:val="nil"/>
                <w:right w:val="nil"/>
                <w:between w:val="nil"/>
              </w:pBdr>
              <w:spacing w:line="480" w:lineRule="auto"/>
              <w:jc w:val="both"/>
              <w:rPr>
                <w:sz w:val="24"/>
                <w:szCs w:val="24"/>
              </w:rPr>
            </w:pPr>
            <w:r>
              <w:rPr>
                <w:sz w:val="24"/>
                <w:szCs w:val="24"/>
              </w:rPr>
              <w:t>17, 27</w:t>
            </w:r>
          </w:p>
        </w:tc>
        <w:tc>
          <w:tcPr>
            <w:tcW w:w="1710" w:type="dxa"/>
            <w:shd w:val="clear" w:color="auto" w:fill="auto"/>
            <w:tcMar>
              <w:top w:w="100" w:type="dxa"/>
              <w:left w:w="100" w:type="dxa"/>
              <w:bottom w:w="100" w:type="dxa"/>
              <w:right w:w="100" w:type="dxa"/>
            </w:tcMar>
          </w:tcPr>
          <w:p w14:paraId="060C1A11" w14:textId="77777777" w:rsidR="00B25AD0" w:rsidRDefault="008C3CF6">
            <w:pPr>
              <w:widowControl w:val="0"/>
              <w:pBdr>
                <w:top w:val="nil"/>
                <w:left w:val="nil"/>
                <w:bottom w:val="nil"/>
                <w:right w:val="nil"/>
                <w:between w:val="nil"/>
              </w:pBdr>
              <w:spacing w:line="480" w:lineRule="auto"/>
              <w:jc w:val="both"/>
              <w:rPr>
                <w:sz w:val="24"/>
                <w:szCs w:val="24"/>
              </w:rPr>
            </w:pPr>
            <w:r>
              <w:rPr>
                <w:sz w:val="24"/>
                <w:szCs w:val="24"/>
              </w:rPr>
              <w:t>2</w:t>
            </w:r>
          </w:p>
        </w:tc>
        <w:tc>
          <w:tcPr>
            <w:tcW w:w="1335" w:type="dxa"/>
            <w:vMerge/>
            <w:shd w:val="clear" w:color="auto" w:fill="auto"/>
            <w:tcMar>
              <w:top w:w="100" w:type="dxa"/>
              <w:left w:w="100" w:type="dxa"/>
              <w:bottom w:w="100" w:type="dxa"/>
              <w:right w:w="100" w:type="dxa"/>
            </w:tcMar>
          </w:tcPr>
          <w:p w14:paraId="1950AE5B" w14:textId="77777777" w:rsidR="00B25AD0" w:rsidRDefault="00B25AD0">
            <w:pPr>
              <w:widowControl w:val="0"/>
              <w:pBdr>
                <w:top w:val="nil"/>
                <w:left w:val="nil"/>
                <w:bottom w:val="nil"/>
                <w:right w:val="nil"/>
                <w:between w:val="nil"/>
              </w:pBdr>
              <w:spacing w:line="480" w:lineRule="auto"/>
              <w:jc w:val="both"/>
              <w:rPr>
                <w:sz w:val="24"/>
                <w:szCs w:val="24"/>
              </w:rPr>
            </w:pPr>
          </w:p>
        </w:tc>
      </w:tr>
      <w:tr w:rsidR="00B25AD0" w14:paraId="002F907E" w14:textId="77777777">
        <w:trPr>
          <w:trHeight w:val="440"/>
        </w:trPr>
        <w:tc>
          <w:tcPr>
            <w:tcW w:w="1965" w:type="dxa"/>
            <w:vMerge/>
            <w:shd w:val="clear" w:color="auto" w:fill="auto"/>
            <w:tcMar>
              <w:top w:w="100" w:type="dxa"/>
              <w:left w:w="100" w:type="dxa"/>
              <w:bottom w:w="100" w:type="dxa"/>
              <w:right w:w="100" w:type="dxa"/>
            </w:tcMar>
          </w:tcPr>
          <w:p w14:paraId="23D720CF" w14:textId="77777777" w:rsidR="00B25AD0" w:rsidRDefault="00B25AD0">
            <w:pPr>
              <w:widowControl w:val="0"/>
              <w:pBdr>
                <w:top w:val="nil"/>
                <w:left w:val="nil"/>
                <w:bottom w:val="nil"/>
                <w:right w:val="nil"/>
                <w:between w:val="nil"/>
              </w:pBdr>
              <w:spacing w:line="480" w:lineRule="auto"/>
              <w:jc w:val="both"/>
              <w:rPr>
                <w:sz w:val="24"/>
                <w:szCs w:val="24"/>
              </w:rPr>
            </w:pPr>
          </w:p>
        </w:tc>
        <w:tc>
          <w:tcPr>
            <w:tcW w:w="2475" w:type="dxa"/>
            <w:shd w:val="clear" w:color="auto" w:fill="auto"/>
            <w:tcMar>
              <w:top w:w="100" w:type="dxa"/>
              <w:left w:w="100" w:type="dxa"/>
              <w:bottom w:w="100" w:type="dxa"/>
              <w:right w:w="100" w:type="dxa"/>
            </w:tcMar>
          </w:tcPr>
          <w:p w14:paraId="0F1262F2" w14:textId="77777777" w:rsidR="00B25AD0" w:rsidRDefault="008C3CF6">
            <w:pPr>
              <w:widowControl w:val="0"/>
              <w:pBdr>
                <w:top w:val="nil"/>
                <w:left w:val="nil"/>
                <w:bottom w:val="nil"/>
                <w:right w:val="nil"/>
                <w:between w:val="nil"/>
              </w:pBdr>
              <w:spacing w:line="240" w:lineRule="auto"/>
              <w:jc w:val="both"/>
              <w:rPr>
                <w:sz w:val="24"/>
                <w:szCs w:val="24"/>
              </w:rPr>
            </w:pPr>
            <w:r>
              <w:rPr>
                <w:sz w:val="24"/>
                <w:szCs w:val="24"/>
              </w:rPr>
              <w:t>Dolor</w:t>
            </w:r>
          </w:p>
        </w:tc>
        <w:tc>
          <w:tcPr>
            <w:tcW w:w="1755" w:type="dxa"/>
            <w:shd w:val="clear" w:color="auto" w:fill="auto"/>
            <w:tcMar>
              <w:top w:w="100" w:type="dxa"/>
              <w:left w:w="100" w:type="dxa"/>
              <w:bottom w:w="100" w:type="dxa"/>
              <w:right w:w="100" w:type="dxa"/>
            </w:tcMar>
          </w:tcPr>
          <w:p w14:paraId="4F6A84CD" w14:textId="77777777" w:rsidR="00B25AD0" w:rsidRDefault="008C3CF6">
            <w:pPr>
              <w:widowControl w:val="0"/>
              <w:pBdr>
                <w:top w:val="nil"/>
                <w:left w:val="nil"/>
                <w:bottom w:val="nil"/>
                <w:right w:val="nil"/>
                <w:between w:val="nil"/>
              </w:pBdr>
              <w:spacing w:line="240" w:lineRule="auto"/>
              <w:jc w:val="both"/>
              <w:rPr>
                <w:sz w:val="24"/>
                <w:szCs w:val="24"/>
              </w:rPr>
            </w:pPr>
            <w:r>
              <w:rPr>
                <w:sz w:val="24"/>
                <w:szCs w:val="24"/>
              </w:rPr>
              <w:t>16, 17</w:t>
            </w:r>
          </w:p>
        </w:tc>
        <w:tc>
          <w:tcPr>
            <w:tcW w:w="1710" w:type="dxa"/>
            <w:shd w:val="clear" w:color="auto" w:fill="auto"/>
            <w:tcMar>
              <w:top w:w="100" w:type="dxa"/>
              <w:left w:w="100" w:type="dxa"/>
              <w:bottom w:w="100" w:type="dxa"/>
              <w:right w:w="100" w:type="dxa"/>
            </w:tcMar>
          </w:tcPr>
          <w:p w14:paraId="447590BA" w14:textId="77777777" w:rsidR="00B25AD0" w:rsidRDefault="008C3CF6">
            <w:pPr>
              <w:widowControl w:val="0"/>
              <w:pBdr>
                <w:top w:val="nil"/>
                <w:left w:val="nil"/>
                <w:bottom w:val="nil"/>
                <w:right w:val="nil"/>
                <w:between w:val="nil"/>
              </w:pBdr>
              <w:spacing w:line="240" w:lineRule="auto"/>
              <w:jc w:val="both"/>
              <w:rPr>
                <w:sz w:val="24"/>
                <w:szCs w:val="24"/>
              </w:rPr>
            </w:pPr>
            <w:r>
              <w:rPr>
                <w:sz w:val="24"/>
                <w:szCs w:val="24"/>
              </w:rPr>
              <w:t>2</w:t>
            </w:r>
          </w:p>
        </w:tc>
        <w:tc>
          <w:tcPr>
            <w:tcW w:w="1335" w:type="dxa"/>
            <w:vMerge/>
            <w:shd w:val="clear" w:color="auto" w:fill="auto"/>
            <w:tcMar>
              <w:top w:w="100" w:type="dxa"/>
              <w:left w:w="100" w:type="dxa"/>
              <w:bottom w:w="100" w:type="dxa"/>
              <w:right w:w="100" w:type="dxa"/>
            </w:tcMar>
          </w:tcPr>
          <w:p w14:paraId="6D3E0AC1" w14:textId="77777777" w:rsidR="00B25AD0" w:rsidRDefault="00B25AD0">
            <w:pPr>
              <w:widowControl w:val="0"/>
              <w:pBdr>
                <w:top w:val="nil"/>
                <w:left w:val="nil"/>
                <w:bottom w:val="nil"/>
                <w:right w:val="nil"/>
                <w:between w:val="nil"/>
              </w:pBdr>
              <w:spacing w:line="480" w:lineRule="auto"/>
              <w:jc w:val="both"/>
              <w:rPr>
                <w:sz w:val="24"/>
                <w:szCs w:val="24"/>
              </w:rPr>
            </w:pPr>
          </w:p>
        </w:tc>
      </w:tr>
      <w:tr w:rsidR="00B25AD0" w14:paraId="3AC4A991" w14:textId="77777777">
        <w:trPr>
          <w:trHeight w:val="440"/>
        </w:trPr>
        <w:tc>
          <w:tcPr>
            <w:tcW w:w="1965" w:type="dxa"/>
            <w:vMerge/>
            <w:shd w:val="clear" w:color="auto" w:fill="auto"/>
            <w:tcMar>
              <w:top w:w="100" w:type="dxa"/>
              <w:left w:w="100" w:type="dxa"/>
              <w:bottom w:w="100" w:type="dxa"/>
              <w:right w:w="100" w:type="dxa"/>
            </w:tcMar>
          </w:tcPr>
          <w:p w14:paraId="3BC6E759" w14:textId="77777777" w:rsidR="00B25AD0" w:rsidRDefault="00B25AD0">
            <w:pPr>
              <w:widowControl w:val="0"/>
              <w:pBdr>
                <w:top w:val="nil"/>
                <w:left w:val="nil"/>
                <w:bottom w:val="nil"/>
                <w:right w:val="nil"/>
                <w:between w:val="nil"/>
              </w:pBdr>
              <w:spacing w:line="480" w:lineRule="auto"/>
              <w:jc w:val="both"/>
              <w:rPr>
                <w:sz w:val="24"/>
                <w:szCs w:val="24"/>
              </w:rPr>
            </w:pPr>
          </w:p>
        </w:tc>
        <w:tc>
          <w:tcPr>
            <w:tcW w:w="2475" w:type="dxa"/>
            <w:shd w:val="clear" w:color="auto" w:fill="auto"/>
            <w:tcMar>
              <w:top w:w="100" w:type="dxa"/>
              <w:left w:w="100" w:type="dxa"/>
              <w:bottom w:w="100" w:type="dxa"/>
              <w:right w:w="100" w:type="dxa"/>
            </w:tcMar>
          </w:tcPr>
          <w:p w14:paraId="58A6164D" w14:textId="77777777" w:rsidR="00B25AD0" w:rsidRDefault="008C3CF6">
            <w:pPr>
              <w:widowControl w:val="0"/>
              <w:pBdr>
                <w:top w:val="nil"/>
                <w:left w:val="nil"/>
                <w:bottom w:val="nil"/>
                <w:right w:val="nil"/>
                <w:between w:val="nil"/>
              </w:pBdr>
              <w:spacing w:line="240" w:lineRule="auto"/>
              <w:jc w:val="both"/>
              <w:rPr>
                <w:sz w:val="24"/>
                <w:szCs w:val="24"/>
              </w:rPr>
            </w:pPr>
            <w:r>
              <w:rPr>
                <w:sz w:val="24"/>
                <w:szCs w:val="24"/>
              </w:rPr>
              <w:t>Hipoxia</w:t>
            </w:r>
          </w:p>
        </w:tc>
        <w:tc>
          <w:tcPr>
            <w:tcW w:w="1755" w:type="dxa"/>
            <w:shd w:val="clear" w:color="auto" w:fill="auto"/>
            <w:tcMar>
              <w:top w:w="100" w:type="dxa"/>
              <w:left w:w="100" w:type="dxa"/>
              <w:bottom w:w="100" w:type="dxa"/>
              <w:right w:w="100" w:type="dxa"/>
            </w:tcMar>
          </w:tcPr>
          <w:p w14:paraId="76B26F72" w14:textId="77777777" w:rsidR="00B25AD0" w:rsidRDefault="008C3CF6">
            <w:pPr>
              <w:widowControl w:val="0"/>
              <w:pBdr>
                <w:top w:val="nil"/>
                <w:left w:val="nil"/>
                <w:bottom w:val="nil"/>
                <w:right w:val="nil"/>
                <w:between w:val="nil"/>
              </w:pBdr>
              <w:spacing w:line="240" w:lineRule="auto"/>
              <w:jc w:val="both"/>
              <w:rPr>
                <w:sz w:val="24"/>
                <w:szCs w:val="24"/>
              </w:rPr>
            </w:pPr>
            <w:r>
              <w:rPr>
                <w:sz w:val="24"/>
                <w:szCs w:val="24"/>
              </w:rPr>
              <w:t>16, 17</w:t>
            </w:r>
          </w:p>
        </w:tc>
        <w:tc>
          <w:tcPr>
            <w:tcW w:w="1710" w:type="dxa"/>
            <w:shd w:val="clear" w:color="auto" w:fill="auto"/>
            <w:tcMar>
              <w:top w:w="100" w:type="dxa"/>
              <w:left w:w="100" w:type="dxa"/>
              <w:bottom w:w="100" w:type="dxa"/>
              <w:right w:w="100" w:type="dxa"/>
            </w:tcMar>
          </w:tcPr>
          <w:p w14:paraId="366A62B3" w14:textId="77777777" w:rsidR="00B25AD0" w:rsidRDefault="008C3CF6">
            <w:pPr>
              <w:widowControl w:val="0"/>
              <w:pBdr>
                <w:top w:val="nil"/>
                <w:left w:val="nil"/>
                <w:bottom w:val="nil"/>
                <w:right w:val="nil"/>
                <w:between w:val="nil"/>
              </w:pBdr>
              <w:spacing w:line="240" w:lineRule="auto"/>
              <w:jc w:val="both"/>
              <w:rPr>
                <w:sz w:val="24"/>
                <w:szCs w:val="24"/>
              </w:rPr>
            </w:pPr>
            <w:r>
              <w:rPr>
                <w:sz w:val="24"/>
                <w:szCs w:val="24"/>
              </w:rPr>
              <w:t>2</w:t>
            </w:r>
          </w:p>
        </w:tc>
        <w:tc>
          <w:tcPr>
            <w:tcW w:w="1335" w:type="dxa"/>
            <w:vMerge/>
            <w:shd w:val="clear" w:color="auto" w:fill="auto"/>
            <w:tcMar>
              <w:top w:w="100" w:type="dxa"/>
              <w:left w:w="100" w:type="dxa"/>
              <w:bottom w:w="100" w:type="dxa"/>
              <w:right w:w="100" w:type="dxa"/>
            </w:tcMar>
          </w:tcPr>
          <w:p w14:paraId="2A59314A" w14:textId="77777777" w:rsidR="00B25AD0" w:rsidRDefault="00B25AD0">
            <w:pPr>
              <w:widowControl w:val="0"/>
              <w:pBdr>
                <w:top w:val="nil"/>
                <w:left w:val="nil"/>
                <w:bottom w:val="nil"/>
                <w:right w:val="nil"/>
                <w:between w:val="nil"/>
              </w:pBdr>
              <w:spacing w:line="480" w:lineRule="auto"/>
              <w:jc w:val="both"/>
              <w:rPr>
                <w:sz w:val="24"/>
                <w:szCs w:val="24"/>
              </w:rPr>
            </w:pPr>
          </w:p>
        </w:tc>
      </w:tr>
      <w:tr w:rsidR="00B25AD0" w14:paraId="6B7EF5C3" w14:textId="77777777">
        <w:trPr>
          <w:trHeight w:val="440"/>
        </w:trPr>
        <w:tc>
          <w:tcPr>
            <w:tcW w:w="1965" w:type="dxa"/>
            <w:vMerge/>
            <w:shd w:val="clear" w:color="auto" w:fill="auto"/>
            <w:tcMar>
              <w:top w:w="100" w:type="dxa"/>
              <w:left w:w="100" w:type="dxa"/>
              <w:bottom w:w="100" w:type="dxa"/>
              <w:right w:w="100" w:type="dxa"/>
            </w:tcMar>
          </w:tcPr>
          <w:p w14:paraId="25A9F6AB" w14:textId="77777777" w:rsidR="00B25AD0" w:rsidRDefault="00B25AD0">
            <w:pPr>
              <w:widowControl w:val="0"/>
              <w:pBdr>
                <w:top w:val="nil"/>
                <w:left w:val="nil"/>
                <w:bottom w:val="nil"/>
                <w:right w:val="nil"/>
                <w:between w:val="nil"/>
              </w:pBdr>
              <w:spacing w:line="480" w:lineRule="auto"/>
              <w:jc w:val="both"/>
              <w:rPr>
                <w:sz w:val="24"/>
                <w:szCs w:val="24"/>
              </w:rPr>
            </w:pPr>
          </w:p>
        </w:tc>
        <w:tc>
          <w:tcPr>
            <w:tcW w:w="2475" w:type="dxa"/>
            <w:shd w:val="clear" w:color="auto" w:fill="auto"/>
            <w:tcMar>
              <w:top w:w="100" w:type="dxa"/>
              <w:left w:w="100" w:type="dxa"/>
              <w:bottom w:w="100" w:type="dxa"/>
              <w:right w:w="100" w:type="dxa"/>
            </w:tcMar>
          </w:tcPr>
          <w:p w14:paraId="0468D38B" w14:textId="77777777" w:rsidR="00B25AD0" w:rsidRDefault="008C3CF6">
            <w:pPr>
              <w:widowControl w:val="0"/>
              <w:pBdr>
                <w:top w:val="nil"/>
                <w:left w:val="nil"/>
                <w:bottom w:val="nil"/>
                <w:right w:val="nil"/>
                <w:between w:val="nil"/>
              </w:pBdr>
              <w:spacing w:line="240" w:lineRule="auto"/>
              <w:jc w:val="both"/>
              <w:rPr>
                <w:sz w:val="24"/>
                <w:szCs w:val="24"/>
              </w:rPr>
            </w:pPr>
            <w:r>
              <w:rPr>
                <w:sz w:val="24"/>
                <w:szCs w:val="24"/>
              </w:rPr>
              <w:t>Trastornos metabólicos</w:t>
            </w:r>
          </w:p>
        </w:tc>
        <w:tc>
          <w:tcPr>
            <w:tcW w:w="1755" w:type="dxa"/>
            <w:shd w:val="clear" w:color="auto" w:fill="auto"/>
            <w:tcMar>
              <w:top w:w="100" w:type="dxa"/>
              <w:left w:w="100" w:type="dxa"/>
              <w:bottom w:w="100" w:type="dxa"/>
              <w:right w:w="100" w:type="dxa"/>
            </w:tcMar>
          </w:tcPr>
          <w:p w14:paraId="448831AB" w14:textId="77777777" w:rsidR="00B25AD0" w:rsidRDefault="008C3CF6">
            <w:pPr>
              <w:widowControl w:val="0"/>
              <w:pBdr>
                <w:top w:val="nil"/>
                <w:left w:val="nil"/>
                <w:bottom w:val="nil"/>
                <w:right w:val="nil"/>
                <w:between w:val="nil"/>
              </w:pBdr>
              <w:spacing w:line="240" w:lineRule="auto"/>
              <w:jc w:val="both"/>
              <w:rPr>
                <w:sz w:val="24"/>
                <w:szCs w:val="24"/>
              </w:rPr>
            </w:pPr>
            <w:r>
              <w:rPr>
                <w:sz w:val="24"/>
                <w:szCs w:val="24"/>
              </w:rPr>
              <w:t>19, 23</w:t>
            </w:r>
          </w:p>
        </w:tc>
        <w:tc>
          <w:tcPr>
            <w:tcW w:w="1710" w:type="dxa"/>
            <w:shd w:val="clear" w:color="auto" w:fill="auto"/>
            <w:tcMar>
              <w:top w:w="100" w:type="dxa"/>
              <w:left w:w="100" w:type="dxa"/>
              <w:bottom w:w="100" w:type="dxa"/>
              <w:right w:w="100" w:type="dxa"/>
            </w:tcMar>
          </w:tcPr>
          <w:p w14:paraId="37E65379" w14:textId="77777777" w:rsidR="00B25AD0" w:rsidRDefault="008C3CF6">
            <w:pPr>
              <w:widowControl w:val="0"/>
              <w:pBdr>
                <w:top w:val="nil"/>
                <w:left w:val="nil"/>
                <w:bottom w:val="nil"/>
                <w:right w:val="nil"/>
                <w:between w:val="nil"/>
              </w:pBdr>
              <w:spacing w:line="240" w:lineRule="auto"/>
              <w:jc w:val="both"/>
              <w:rPr>
                <w:sz w:val="24"/>
                <w:szCs w:val="24"/>
              </w:rPr>
            </w:pPr>
            <w:r>
              <w:rPr>
                <w:sz w:val="24"/>
                <w:szCs w:val="24"/>
              </w:rPr>
              <w:t>2</w:t>
            </w:r>
          </w:p>
        </w:tc>
        <w:tc>
          <w:tcPr>
            <w:tcW w:w="1335" w:type="dxa"/>
            <w:vMerge/>
            <w:shd w:val="clear" w:color="auto" w:fill="auto"/>
            <w:tcMar>
              <w:top w:w="100" w:type="dxa"/>
              <w:left w:w="100" w:type="dxa"/>
              <w:bottom w:w="100" w:type="dxa"/>
              <w:right w:w="100" w:type="dxa"/>
            </w:tcMar>
          </w:tcPr>
          <w:p w14:paraId="1A1D2772" w14:textId="77777777" w:rsidR="00B25AD0" w:rsidRDefault="00B25AD0">
            <w:pPr>
              <w:widowControl w:val="0"/>
              <w:pBdr>
                <w:top w:val="nil"/>
                <w:left w:val="nil"/>
                <w:bottom w:val="nil"/>
                <w:right w:val="nil"/>
                <w:between w:val="nil"/>
              </w:pBdr>
              <w:spacing w:line="480" w:lineRule="auto"/>
              <w:jc w:val="both"/>
              <w:rPr>
                <w:sz w:val="24"/>
                <w:szCs w:val="24"/>
              </w:rPr>
            </w:pPr>
          </w:p>
        </w:tc>
      </w:tr>
      <w:tr w:rsidR="00B25AD0" w14:paraId="61B632EB" w14:textId="77777777">
        <w:trPr>
          <w:trHeight w:val="440"/>
        </w:trPr>
        <w:tc>
          <w:tcPr>
            <w:tcW w:w="1965" w:type="dxa"/>
            <w:vMerge/>
            <w:shd w:val="clear" w:color="auto" w:fill="auto"/>
            <w:tcMar>
              <w:top w:w="100" w:type="dxa"/>
              <w:left w:w="100" w:type="dxa"/>
              <w:bottom w:w="100" w:type="dxa"/>
              <w:right w:w="100" w:type="dxa"/>
            </w:tcMar>
          </w:tcPr>
          <w:p w14:paraId="00A72045" w14:textId="77777777" w:rsidR="00B25AD0" w:rsidRDefault="00B25AD0">
            <w:pPr>
              <w:widowControl w:val="0"/>
              <w:pBdr>
                <w:top w:val="nil"/>
                <w:left w:val="nil"/>
                <w:bottom w:val="nil"/>
                <w:right w:val="nil"/>
                <w:between w:val="nil"/>
              </w:pBdr>
              <w:spacing w:line="480" w:lineRule="auto"/>
              <w:jc w:val="both"/>
              <w:rPr>
                <w:sz w:val="24"/>
                <w:szCs w:val="24"/>
              </w:rPr>
            </w:pPr>
          </w:p>
        </w:tc>
        <w:tc>
          <w:tcPr>
            <w:tcW w:w="2475" w:type="dxa"/>
            <w:shd w:val="clear" w:color="auto" w:fill="auto"/>
            <w:tcMar>
              <w:top w:w="100" w:type="dxa"/>
              <w:left w:w="100" w:type="dxa"/>
              <w:bottom w:w="100" w:type="dxa"/>
              <w:right w:w="100" w:type="dxa"/>
            </w:tcMar>
          </w:tcPr>
          <w:p w14:paraId="268DB63C" w14:textId="77777777" w:rsidR="00B25AD0" w:rsidRDefault="008C3CF6">
            <w:pPr>
              <w:widowControl w:val="0"/>
              <w:pBdr>
                <w:top w:val="nil"/>
                <w:left w:val="nil"/>
                <w:bottom w:val="nil"/>
                <w:right w:val="nil"/>
                <w:between w:val="nil"/>
              </w:pBdr>
              <w:spacing w:line="240" w:lineRule="auto"/>
              <w:jc w:val="both"/>
              <w:rPr>
                <w:sz w:val="24"/>
                <w:szCs w:val="24"/>
              </w:rPr>
            </w:pPr>
            <w:r>
              <w:rPr>
                <w:sz w:val="24"/>
                <w:szCs w:val="24"/>
              </w:rPr>
              <w:t>Trastornos hidroelectrolíticos</w:t>
            </w:r>
          </w:p>
        </w:tc>
        <w:tc>
          <w:tcPr>
            <w:tcW w:w="1755" w:type="dxa"/>
            <w:shd w:val="clear" w:color="auto" w:fill="auto"/>
            <w:tcMar>
              <w:top w:w="100" w:type="dxa"/>
              <w:left w:w="100" w:type="dxa"/>
              <w:bottom w:w="100" w:type="dxa"/>
              <w:right w:w="100" w:type="dxa"/>
            </w:tcMar>
          </w:tcPr>
          <w:p w14:paraId="2594D3FF" w14:textId="77777777" w:rsidR="00B25AD0" w:rsidRDefault="008C3CF6">
            <w:pPr>
              <w:widowControl w:val="0"/>
              <w:pBdr>
                <w:top w:val="nil"/>
                <w:left w:val="nil"/>
                <w:bottom w:val="nil"/>
                <w:right w:val="nil"/>
                <w:between w:val="nil"/>
              </w:pBdr>
              <w:spacing w:line="240" w:lineRule="auto"/>
              <w:jc w:val="both"/>
              <w:rPr>
                <w:sz w:val="24"/>
                <w:szCs w:val="24"/>
              </w:rPr>
            </w:pPr>
            <w:r>
              <w:rPr>
                <w:sz w:val="24"/>
                <w:szCs w:val="24"/>
              </w:rPr>
              <w:t>17, 24</w:t>
            </w:r>
          </w:p>
        </w:tc>
        <w:tc>
          <w:tcPr>
            <w:tcW w:w="1710" w:type="dxa"/>
            <w:shd w:val="clear" w:color="auto" w:fill="auto"/>
            <w:tcMar>
              <w:top w:w="100" w:type="dxa"/>
              <w:left w:w="100" w:type="dxa"/>
              <w:bottom w:w="100" w:type="dxa"/>
              <w:right w:w="100" w:type="dxa"/>
            </w:tcMar>
          </w:tcPr>
          <w:p w14:paraId="5995A574" w14:textId="77777777" w:rsidR="00B25AD0" w:rsidRDefault="008C3CF6">
            <w:pPr>
              <w:widowControl w:val="0"/>
              <w:pBdr>
                <w:top w:val="nil"/>
                <w:left w:val="nil"/>
                <w:bottom w:val="nil"/>
                <w:right w:val="nil"/>
                <w:between w:val="nil"/>
              </w:pBdr>
              <w:spacing w:line="240" w:lineRule="auto"/>
              <w:jc w:val="both"/>
              <w:rPr>
                <w:sz w:val="24"/>
                <w:szCs w:val="24"/>
              </w:rPr>
            </w:pPr>
            <w:r>
              <w:rPr>
                <w:sz w:val="24"/>
                <w:szCs w:val="24"/>
              </w:rPr>
              <w:t>2</w:t>
            </w:r>
          </w:p>
        </w:tc>
        <w:tc>
          <w:tcPr>
            <w:tcW w:w="1335" w:type="dxa"/>
            <w:vMerge/>
            <w:shd w:val="clear" w:color="auto" w:fill="auto"/>
            <w:tcMar>
              <w:top w:w="100" w:type="dxa"/>
              <w:left w:w="100" w:type="dxa"/>
              <w:bottom w:w="100" w:type="dxa"/>
              <w:right w:w="100" w:type="dxa"/>
            </w:tcMar>
          </w:tcPr>
          <w:p w14:paraId="5CF94418" w14:textId="77777777" w:rsidR="00B25AD0" w:rsidRDefault="00B25AD0">
            <w:pPr>
              <w:widowControl w:val="0"/>
              <w:pBdr>
                <w:top w:val="nil"/>
                <w:left w:val="nil"/>
                <w:bottom w:val="nil"/>
                <w:right w:val="nil"/>
                <w:between w:val="nil"/>
              </w:pBdr>
              <w:spacing w:line="480" w:lineRule="auto"/>
              <w:jc w:val="both"/>
              <w:rPr>
                <w:sz w:val="24"/>
                <w:szCs w:val="24"/>
              </w:rPr>
            </w:pPr>
          </w:p>
        </w:tc>
      </w:tr>
      <w:tr w:rsidR="00B25AD0" w14:paraId="069BD5C6" w14:textId="77777777">
        <w:trPr>
          <w:trHeight w:val="440"/>
        </w:trPr>
        <w:tc>
          <w:tcPr>
            <w:tcW w:w="1965" w:type="dxa"/>
            <w:vMerge w:val="restart"/>
            <w:shd w:val="clear" w:color="auto" w:fill="auto"/>
            <w:tcMar>
              <w:top w:w="100" w:type="dxa"/>
              <w:left w:w="100" w:type="dxa"/>
              <w:bottom w:w="100" w:type="dxa"/>
              <w:right w:w="100" w:type="dxa"/>
            </w:tcMar>
          </w:tcPr>
          <w:p w14:paraId="25CC5849" w14:textId="77777777" w:rsidR="00B25AD0" w:rsidRDefault="008C3CF6">
            <w:pPr>
              <w:widowControl w:val="0"/>
              <w:pBdr>
                <w:top w:val="nil"/>
                <w:left w:val="nil"/>
                <w:bottom w:val="nil"/>
                <w:right w:val="nil"/>
                <w:between w:val="nil"/>
              </w:pBdr>
              <w:spacing w:line="240" w:lineRule="auto"/>
              <w:jc w:val="both"/>
            </w:pPr>
            <w:r>
              <w:rPr>
                <w:b/>
              </w:rPr>
              <w:t>Factores ambientales o estresores</w:t>
            </w:r>
            <w:r>
              <w:t>.</w:t>
            </w:r>
          </w:p>
        </w:tc>
        <w:tc>
          <w:tcPr>
            <w:tcW w:w="2475" w:type="dxa"/>
            <w:shd w:val="clear" w:color="auto" w:fill="auto"/>
            <w:tcMar>
              <w:top w:w="100" w:type="dxa"/>
              <w:left w:w="100" w:type="dxa"/>
              <w:bottom w:w="100" w:type="dxa"/>
              <w:right w:w="100" w:type="dxa"/>
            </w:tcMar>
          </w:tcPr>
          <w:p w14:paraId="2B63A61D" w14:textId="77777777" w:rsidR="00B25AD0" w:rsidRDefault="008C3CF6">
            <w:pPr>
              <w:widowControl w:val="0"/>
              <w:pBdr>
                <w:top w:val="nil"/>
                <w:left w:val="nil"/>
                <w:bottom w:val="nil"/>
                <w:right w:val="nil"/>
                <w:between w:val="nil"/>
              </w:pBdr>
              <w:spacing w:line="240" w:lineRule="auto"/>
              <w:jc w:val="both"/>
              <w:rPr>
                <w:sz w:val="24"/>
                <w:szCs w:val="24"/>
              </w:rPr>
            </w:pPr>
            <w:r>
              <w:rPr>
                <w:sz w:val="24"/>
                <w:szCs w:val="24"/>
              </w:rPr>
              <w:t>Uso de restricción física</w:t>
            </w:r>
          </w:p>
        </w:tc>
        <w:tc>
          <w:tcPr>
            <w:tcW w:w="1755" w:type="dxa"/>
            <w:shd w:val="clear" w:color="auto" w:fill="auto"/>
            <w:tcMar>
              <w:top w:w="100" w:type="dxa"/>
              <w:left w:w="100" w:type="dxa"/>
              <w:bottom w:w="100" w:type="dxa"/>
              <w:right w:w="100" w:type="dxa"/>
            </w:tcMar>
          </w:tcPr>
          <w:p w14:paraId="28E865DA" w14:textId="77777777" w:rsidR="00B25AD0" w:rsidRDefault="008C3CF6">
            <w:pPr>
              <w:widowControl w:val="0"/>
              <w:pBdr>
                <w:top w:val="nil"/>
                <w:left w:val="nil"/>
                <w:bottom w:val="nil"/>
                <w:right w:val="nil"/>
                <w:between w:val="nil"/>
              </w:pBdr>
              <w:spacing w:line="240" w:lineRule="auto"/>
              <w:jc w:val="both"/>
              <w:rPr>
                <w:sz w:val="24"/>
                <w:szCs w:val="24"/>
              </w:rPr>
            </w:pPr>
            <w:r>
              <w:rPr>
                <w:sz w:val="24"/>
                <w:szCs w:val="24"/>
              </w:rPr>
              <w:t>13, 16, 19, 26, 27</w:t>
            </w:r>
          </w:p>
        </w:tc>
        <w:tc>
          <w:tcPr>
            <w:tcW w:w="1710" w:type="dxa"/>
            <w:shd w:val="clear" w:color="auto" w:fill="auto"/>
            <w:tcMar>
              <w:top w:w="100" w:type="dxa"/>
              <w:left w:w="100" w:type="dxa"/>
              <w:bottom w:w="100" w:type="dxa"/>
              <w:right w:w="100" w:type="dxa"/>
            </w:tcMar>
          </w:tcPr>
          <w:p w14:paraId="76982253" w14:textId="77777777" w:rsidR="00B25AD0" w:rsidRDefault="008C3CF6">
            <w:pPr>
              <w:widowControl w:val="0"/>
              <w:pBdr>
                <w:top w:val="nil"/>
                <w:left w:val="nil"/>
                <w:bottom w:val="nil"/>
                <w:right w:val="nil"/>
                <w:between w:val="nil"/>
              </w:pBdr>
              <w:spacing w:line="240" w:lineRule="auto"/>
              <w:jc w:val="both"/>
              <w:rPr>
                <w:sz w:val="24"/>
                <w:szCs w:val="24"/>
              </w:rPr>
            </w:pPr>
            <w:r>
              <w:rPr>
                <w:sz w:val="24"/>
                <w:szCs w:val="24"/>
              </w:rPr>
              <w:t>5</w:t>
            </w:r>
          </w:p>
        </w:tc>
        <w:tc>
          <w:tcPr>
            <w:tcW w:w="1335" w:type="dxa"/>
            <w:vMerge w:val="restart"/>
            <w:shd w:val="clear" w:color="auto" w:fill="auto"/>
            <w:tcMar>
              <w:top w:w="100" w:type="dxa"/>
              <w:left w:w="100" w:type="dxa"/>
              <w:bottom w:w="100" w:type="dxa"/>
              <w:right w:w="100" w:type="dxa"/>
            </w:tcMar>
          </w:tcPr>
          <w:p w14:paraId="4569CAF4" w14:textId="77777777" w:rsidR="00B25AD0" w:rsidRDefault="008C3CF6">
            <w:pPr>
              <w:widowControl w:val="0"/>
              <w:pBdr>
                <w:top w:val="nil"/>
                <w:left w:val="nil"/>
                <w:bottom w:val="nil"/>
                <w:right w:val="nil"/>
                <w:between w:val="nil"/>
              </w:pBdr>
              <w:spacing w:line="480" w:lineRule="auto"/>
              <w:jc w:val="both"/>
              <w:rPr>
                <w:sz w:val="24"/>
                <w:szCs w:val="24"/>
              </w:rPr>
            </w:pPr>
            <w:r>
              <w:rPr>
                <w:sz w:val="24"/>
                <w:szCs w:val="24"/>
              </w:rPr>
              <w:t>10 (28,6%)</w:t>
            </w:r>
          </w:p>
        </w:tc>
      </w:tr>
      <w:tr w:rsidR="00B25AD0" w14:paraId="45220369" w14:textId="77777777">
        <w:trPr>
          <w:trHeight w:val="440"/>
        </w:trPr>
        <w:tc>
          <w:tcPr>
            <w:tcW w:w="1965" w:type="dxa"/>
            <w:vMerge/>
            <w:shd w:val="clear" w:color="auto" w:fill="auto"/>
            <w:tcMar>
              <w:top w:w="100" w:type="dxa"/>
              <w:left w:w="100" w:type="dxa"/>
              <w:bottom w:w="100" w:type="dxa"/>
              <w:right w:w="100" w:type="dxa"/>
            </w:tcMar>
          </w:tcPr>
          <w:p w14:paraId="2364CC52" w14:textId="77777777" w:rsidR="00B25AD0" w:rsidRDefault="00B25AD0">
            <w:pPr>
              <w:widowControl w:val="0"/>
              <w:pBdr>
                <w:top w:val="nil"/>
                <w:left w:val="nil"/>
                <w:bottom w:val="nil"/>
                <w:right w:val="nil"/>
                <w:between w:val="nil"/>
              </w:pBdr>
              <w:spacing w:line="480" w:lineRule="auto"/>
              <w:jc w:val="both"/>
              <w:rPr>
                <w:sz w:val="24"/>
                <w:szCs w:val="24"/>
              </w:rPr>
            </w:pPr>
          </w:p>
        </w:tc>
        <w:tc>
          <w:tcPr>
            <w:tcW w:w="2475" w:type="dxa"/>
            <w:shd w:val="clear" w:color="auto" w:fill="auto"/>
            <w:tcMar>
              <w:top w:w="100" w:type="dxa"/>
              <w:left w:w="100" w:type="dxa"/>
              <w:bottom w:w="100" w:type="dxa"/>
              <w:right w:w="100" w:type="dxa"/>
            </w:tcMar>
          </w:tcPr>
          <w:p w14:paraId="6CFF32E3" w14:textId="77777777" w:rsidR="00B25AD0" w:rsidRDefault="008C3CF6">
            <w:pPr>
              <w:widowControl w:val="0"/>
              <w:pBdr>
                <w:top w:val="nil"/>
                <w:left w:val="nil"/>
                <w:bottom w:val="nil"/>
                <w:right w:val="nil"/>
                <w:between w:val="nil"/>
              </w:pBdr>
              <w:spacing w:line="240" w:lineRule="auto"/>
              <w:jc w:val="both"/>
              <w:rPr>
                <w:sz w:val="24"/>
                <w:szCs w:val="24"/>
              </w:rPr>
            </w:pPr>
            <w:r>
              <w:rPr>
                <w:sz w:val="24"/>
                <w:szCs w:val="24"/>
              </w:rPr>
              <w:t>Ventilación mecánica</w:t>
            </w:r>
          </w:p>
        </w:tc>
        <w:tc>
          <w:tcPr>
            <w:tcW w:w="1755" w:type="dxa"/>
            <w:shd w:val="clear" w:color="auto" w:fill="auto"/>
            <w:tcMar>
              <w:top w:w="100" w:type="dxa"/>
              <w:left w:w="100" w:type="dxa"/>
              <w:bottom w:w="100" w:type="dxa"/>
              <w:right w:w="100" w:type="dxa"/>
            </w:tcMar>
          </w:tcPr>
          <w:p w14:paraId="15502B26" w14:textId="77777777" w:rsidR="00B25AD0" w:rsidRDefault="008C3CF6">
            <w:pPr>
              <w:widowControl w:val="0"/>
              <w:pBdr>
                <w:top w:val="nil"/>
                <w:left w:val="nil"/>
                <w:bottom w:val="nil"/>
                <w:right w:val="nil"/>
                <w:between w:val="nil"/>
              </w:pBdr>
              <w:spacing w:line="240" w:lineRule="auto"/>
              <w:jc w:val="both"/>
              <w:rPr>
                <w:sz w:val="24"/>
                <w:szCs w:val="24"/>
              </w:rPr>
            </w:pPr>
            <w:r>
              <w:rPr>
                <w:sz w:val="24"/>
                <w:szCs w:val="24"/>
              </w:rPr>
              <w:t>13, 14, 17, 19</w:t>
            </w:r>
          </w:p>
        </w:tc>
        <w:tc>
          <w:tcPr>
            <w:tcW w:w="1710" w:type="dxa"/>
            <w:shd w:val="clear" w:color="auto" w:fill="auto"/>
            <w:tcMar>
              <w:top w:w="100" w:type="dxa"/>
              <w:left w:w="100" w:type="dxa"/>
              <w:bottom w:w="100" w:type="dxa"/>
              <w:right w:w="100" w:type="dxa"/>
            </w:tcMar>
          </w:tcPr>
          <w:p w14:paraId="3F940DDF" w14:textId="77777777" w:rsidR="00B25AD0" w:rsidRDefault="008C3CF6">
            <w:pPr>
              <w:widowControl w:val="0"/>
              <w:pBdr>
                <w:top w:val="nil"/>
                <w:left w:val="nil"/>
                <w:bottom w:val="nil"/>
                <w:right w:val="nil"/>
                <w:between w:val="nil"/>
              </w:pBdr>
              <w:spacing w:line="240" w:lineRule="auto"/>
              <w:jc w:val="both"/>
              <w:rPr>
                <w:sz w:val="24"/>
                <w:szCs w:val="24"/>
              </w:rPr>
            </w:pPr>
            <w:r>
              <w:rPr>
                <w:sz w:val="24"/>
                <w:szCs w:val="24"/>
              </w:rPr>
              <w:t>4</w:t>
            </w:r>
          </w:p>
        </w:tc>
        <w:tc>
          <w:tcPr>
            <w:tcW w:w="1335" w:type="dxa"/>
            <w:vMerge/>
            <w:shd w:val="clear" w:color="auto" w:fill="auto"/>
            <w:tcMar>
              <w:top w:w="100" w:type="dxa"/>
              <w:left w:w="100" w:type="dxa"/>
              <w:bottom w:w="100" w:type="dxa"/>
              <w:right w:w="100" w:type="dxa"/>
            </w:tcMar>
          </w:tcPr>
          <w:p w14:paraId="2DE4FF47" w14:textId="77777777" w:rsidR="00B25AD0" w:rsidRDefault="00B25AD0">
            <w:pPr>
              <w:widowControl w:val="0"/>
              <w:pBdr>
                <w:top w:val="nil"/>
                <w:left w:val="nil"/>
                <w:bottom w:val="nil"/>
                <w:right w:val="nil"/>
                <w:between w:val="nil"/>
              </w:pBdr>
              <w:spacing w:line="480" w:lineRule="auto"/>
              <w:jc w:val="both"/>
              <w:rPr>
                <w:sz w:val="24"/>
                <w:szCs w:val="24"/>
              </w:rPr>
            </w:pPr>
          </w:p>
        </w:tc>
      </w:tr>
      <w:tr w:rsidR="00B25AD0" w14:paraId="31391BD4" w14:textId="77777777">
        <w:trPr>
          <w:trHeight w:val="440"/>
        </w:trPr>
        <w:tc>
          <w:tcPr>
            <w:tcW w:w="1965" w:type="dxa"/>
            <w:vMerge/>
            <w:shd w:val="clear" w:color="auto" w:fill="auto"/>
            <w:tcMar>
              <w:top w:w="100" w:type="dxa"/>
              <w:left w:w="100" w:type="dxa"/>
              <w:bottom w:w="100" w:type="dxa"/>
              <w:right w:w="100" w:type="dxa"/>
            </w:tcMar>
          </w:tcPr>
          <w:p w14:paraId="44E9AAF6" w14:textId="77777777" w:rsidR="00B25AD0" w:rsidRDefault="00B25AD0">
            <w:pPr>
              <w:widowControl w:val="0"/>
              <w:pBdr>
                <w:top w:val="nil"/>
                <w:left w:val="nil"/>
                <w:bottom w:val="nil"/>
                <w:right w:val="nil"/>
                <w:between w:val="nil"/>
              </w:pBdr>
              <w:spacing w:line="480" w:lineRule="auto"/>
              <w:jc w:val="both"/>
              <w:rPr>
                <w:sz w:val="24"/>
                <w:szCs w:val="24"/>
              </w:rPr>
            </w:pPr>
          </w:p>
        </w:tc>
        <w:tc>
          <w:tcPr>
            <w:tcW w:w="2475" w:type="dxa"/>
            <w:shd w:val="clear" w:color="auto" w:fill="auto"/>
            <w:tcMar>
              <w:top w:w="100" w:type="dxa"/>
              <w:left w:w="100" w:type="dxa"/>
              <w:bottom w:w="100" w:type="dxa"/>
              <w:right w:w="100" w:type="dxa"/>
            </w:tcMar>
          </w:tcPr>
          <w:p w14:paraId="535074B6" w14:textId="77777777" w:rsidR="00B25AD0" w:rsidRDefault="008C3CF6">
            <w:pPr>
              <w:widowControl w:val="0"/>
              <w:pBdr>
                <w:top w:val="nil"/>
                <w:left w:val="nil"/>
                <w:bottom w:val="nil"/>
                <w:right w:val="nil"/>
                <w:between w:val="nil"/>
              </w:pBdr>
              <w:spacing w:line="240" w:lineRule="auto"/>
              <w:jc w:val="both"/>
              <w:rPr>
                <w:sz w:val="24"/>
                <w:szCs w:val="24"/>
              </w:rPr>
            </w:pPr>
            <w:r>
              <w:rPr>
                <w:sz w:val="24"/>
                <w:szCs w:val="24"/>
              </w:rPr>
              <w:t>Dificultad para dormir/disrupción del sueño</w:t>
            </w:r>
          </w:p>
        </w:tc>
        <w:tc>
          <w:tcPr>
            <w:tcW w:w="1755" w:type="dxa"/>
            <w:shd w:val="clear" w:color="auto" w:fill="auto"/>
            <w:tcMar>
              <w:top w:w="100" w:type="dxa"/>
              <w:left w:w="100" w:type="dxa"/>
              <w:bottom w:w="100" w:type="dxa"/>
              <w:right w:w="100" w:type="dxa"/>
            </w:tcMar>
          </w:tcPr>
          <w:p w14:paraId="509A3FAF" w14:textId="77777777" w:rsidR="00B25AD0" w:rsidRDefault="008C3CF6">
            <w:pPr>
              <w:widowControl w:val="0"/>
              <w:pBdr>
                <w:top w:val="nil"/>
                <w:left w:val="nil"/>
                <w:bottom w:val="nil"/>
                <w:right w:val="nil"/>
                <w:between w:val="nil"/>
              </w:pBdr>
              <w:spacing w:line="240" w:lineRule="auto"/>
              <w:jc w:val="both"/>
              <w:rPr>
                <w:sz w:val="24"/>
                <w:szCs w:val="24"/>
              </w:rPr>
            </w:pPr>
            <w:r>
              <w:rPr>
                <w:sz w:val="24"/>
                <w:szCs w:val="24"/>
              </w:rPr>
              <w:t>16, 17, 20</w:t>
            </w:r>
          </w:p>
        </w:tc>
        <w:tc>
          <w:tcPr>
            <w:tcW w:w="1710" w:type="dxa"/>
            <w:shd w:val="clear" w:color="auto" w:fill="auto"/>
            <w:tcMar>
              <w:top w:w="100" w:type="dxa"/>
              <w:left w:w="100" w:type="dxa"/>
              <w:bottom w:w="100" w:type="dxa"/>
              <w:right w:w="100" w:type="dxa"/>
            </w:tcMar>
          </w:tcPr>
          <w:p w14:paraId="488A070C" w14:textId="77777777" w:rsidR="00B25AD0" w:rsidRDefault="008C3CF6">
            <w:pPr>
              <w:widowControl w:val="0"/>
              <w:pBdr>
                <w:top w:val="nil"/>
                <w:left w:val="nil"/>
                <w:bottom w:val="nil"/>
                <w:right w:val="nil"/>
                <w:between w:val="nil"/>
              </w:pBdr>
              <w:spacing w:line="240" w:lineRule="auto"/>
              <w:jc w:val="both"/>
              <w:rPr>
                <w:sz w:val="24"/>
                <w:szCs w:val="24"/>
              </w:rPr>
            </w:pPr>
            <w:r>
              <w:rPr>
                <w:sz w:val="24"/>
                <w:szCs w:val="24"/>
              </w:rPr>
              <w:t>3</w:t>
            </w:r>
          </w:p>
        </w:tc>
        <w:tc>
          <w:tcPr>
            <w:tcW w:w="1335" w:type="dxa"/>
            <w:vMerge/>
            <w:shd w:val="clear" w:color="auto" w:fill="auto"/>
            <w:tcMar>
              <w:top w:w="100" w:type="dxa"/>
              <w:left w:w="100" w:type="dxa"/>
              <w:bottom w:w="100" w:type="dxa"/>
              <w:right w:w="100" w:type="dxa"/>
            </w:tcMar>
          </w:tcPr>
          <w:p w14:paraId="723D3577" w14:textId="77777777" w:rsidR="00B25AD0" w:rsidRDefault="00B25AD0">
            <w:pPr>
              <w:widowControl w:val="0"/>
              <w:pBdr>
                <w:top w:val="nil"/>
                <w:left w:val="nil"/>
                <w:bottom w:val="nil"/>
                <w:right w:val="nil"/>
                <w:between w:val="nil"/>
              </w:pBdr>
              <w:spacing w:line="480" w:lineRule="auto"/>
              <w:jc w:val="both"/>
              <w:rPr>
                <w:sz w:val="24"/>
                <w:szCs w:val="24"/>
              </w:rPr>
            </w:pPr>
          </w:p>
        </w:tc>
      </w:tr>
      <w:tr w:rsidR="00B25AD0" w14:paraId="65261742" w14:textId="77777777">
        <w:trPr>
          <w:trHeight w:val="440"/>
        </w:trPr>
        <w:tc>
          <w:tcPr>
            <w:tcW w:w="1965" w:type="dxa"/>
            <w:vMerge/>
            <w:shd w:val="clear" w:color="auto" w:fill="auto"/>
            <w:tcMar>
              <w:top w:w="100" w:type="dxa"/>
              <w:left w:w="100" w:type="dxa"/>
              <w:bottom w:w="100" w:type="dxa"/>
              <w:right w:w="100" w:type="dxa"/>
            </w:tcMar>
          </w:tcPr>
          <w:p w14:paraId="76ED68C2" w14:textId="77777777" w:rsidR="00B25AD0" w:rsidRDefault="00B25AD0">
            <w:pPr>
              <w:widowControl w:val="0"/>
              <w:pBdr>
                <w:top w:val="nil"/>
                <w:left w:val="nil"/>
                <w:bottom w:val="nil"/>
                <w:right w:val="nil"/>
                <w:between w:val="nil"/>
              </w:pBdr>
              <w:spacing w:line="480" w:lineRule="auto"/>
              <w:jc w:val="both"/>
              <w:rPr>
                <w:sz w:val="24"/>
                <w:szCs w:val="24"/>
              </w:rPr>
            </w:pPr>
          </w:p>
        </w:tc>
        <w:tc>
          <w:tcPr>
            <w:tcW w:w="2475" w:type="dxa"/>
            <w:shd w:val="clear" w:color="auto" w:fill="auto"/>
            <w:tcMar>
              <w:top w:w="100" w:type="dxa"/>
              <w:left w:w="100" w:type="dxa"/>
              <w:bottom w:w="100" w:type="dxa"/>
              <w:right w:w="100" w:type="dxa"/>
            </w:tcMar>
          </w:tcPr>
          <w:p w14:paraId="0CD8C507" w14:textId="77777777" w:rsidR="00B25AD0" w:rsidRDefault="008C3CF6">
            <w:pPr>
              <w:widowControl w:val="0"/>
              <w:pBdr>
                <w:top w:val="nil"/>
                <w:left w:val="nil"/>
                <w:bottom w:val="nil"/>
                <w:right w:val="nil"/>
                <w:between w:val="nil"/>
              </w:pBdr>
              <w:spacing w:line="240" w:lineRule="auto"/>
              <w:jc w:val="both"/>
              <w:rPr>
                <w:sz w:val="24"/>
                <w:szCs w:val="24"/>
              </w:rPr>
            </w:pPr>
            <w:r>
              <w:rPr>
                <w:sz w:val="24"/>
                <w:szCs w:val="24"/>
              </w:rPr>
              <w:t xml:space="preserve">Ingreso de urgencia a </w:t>
            </w:r>
            <w:r>
              <w:rPr>
                <w:sz w:val="24"/>
                <w:szCs w:val="24"/>
              </w:rPr>
              <w:lastRenderedPageBreak/>
              <w:t>UCI</w:t>
            </w:r>
          </w:p>
        </w:tc>
        <w:tc>
          <w:tcPr>
            <w:tcW w:w="1755" w:type="dxa"/>
            <w:shd w:val="clear" w:color="auto" w:fill="auto"/>
            <w:tcMar>
              <w:top w:w="100" w:type="dxa"/>
              <w:left w:w="100" w:type="dxa"/>
              <w:bottom w:w="100" w:type="dxa"/>
              <w:right w:w="100" w:type="dxa"/>
            </w:tcMar>
          </w:tcPr>
          <w:p w14:paraId="730B5C68" w14:textId="77777777" w:rsidR="00B25AD0" w:rsidRDefault="008C3CF6">
            <w:pPr>
              <w:widowControl w:val="0"/>
              <w:pBdr>
                <w:top w:val="nil"/>
                <w:left w:val="nil"/>
                <w:bottom w:val="nil"/>
                <w:right w:val="nil"/>
                <w:between w:val="nil"/>
              </w:pBdr>
              <w:spacing w:line="240" w:lineRule="auto"/>
              <w:jc w:val="both"/>
              <w:rPr>
                <w:sz w:val="24"/>
                <w:szCs w:val="24"/>
              </w:rPr>
            </w:pPr>
            <w:r>
              <w:rPr>
                <w:sz w:val="24"/>
                <w:szCs w:val="24"/>
              </w:rPr>
              <w:lastRenderedPageBreak/>
              <w:t>18, 20, 22</w:t>
            </w:r>
          </w:p>
        </w:tc>
        <w:tc>
          <w:tcPr>
            <w:tcW w:w="1710" w:type="dxa"/>
            <w:shd w:val="clear" w:color="auto" w:fill="auto"/>
            <w:tcMar>
              <w:top w:w="100" w:type="dxa"/>
              <w:left w:w="100" w:type="dxa"/>
              <w:bottom w:w="100" w:type="dxa"/>
              <w:right w:w="100" w:type="dxa"/>
            </w:tcMar>
          </w:tcPr>
          <w:p w14:paraId="15E4EAD5" w14:textId="77777777" w:rsidR="00B25AD0" w:rsidRDefault="008C3CF6">
            <w:pPr>
              <w:widowControl w:val="0"/>
              <w:pBdr>
                <w:top w:val="nil"/>
                <w:left w:val="nil"/>
                <w:bottom w:val="nil"/>
                <w:right w:val="nil"/>
                <w:between w:val="nil"/>
              </w:pBdr>
              <w:spacing w:line="240" w:lineRule="auto"/>
              <w:jc w:val="both"/>
              <w:rPr>
                <w:sz w:val="24"/>
                <w:szCs w:val="24"/>
              </w:rPr>
            </w:pPr>
            <w:r>
              <w:rPr>
                <w:sz w:val="24"/>
                <w:szCs w:val="24"/>
              </w:rPr>
              <w:t>3</w:t>
            </w:r>
          </w:p>
        </w:tc>
        <w:tc>
          <w:tcPr>
            <w:tcW w:w="1335" w:type="dxa"/>
            <w:vMerge/>
            <w:shd w:val="clear" w:color="auto" w:fill="auto"/>
            <w:tcMar>
              <w:top w:w="100" w:type="dxa"/>
              <w:left w:w="100" w:type="dxa"/>
              <w:bottom w:w="100" w:type="dxa"/>
              <w:right w:w="100" w:type="dxa"/>
            </w:tcMar>
          </w:tcPr>
          <w:p w14:paraId="0A11BA55" w14:textId="77777777" w:rsidR="00B25AD0" w:rsidRDefault="00B25AD0">
            <w:pPr>
              <w:widowControl w:val="0"/>
              <w:pBdr>
                <w:top w:val="nil"/>
                <w:left w:val="nil"/>
                <w:bottom w:val="nil"/>
                <w:right w:val="nil"/>
                <w:between w:val="nil"/>
              </w:pBdr>
              <w:spacing w:line="480" w:lineRule="auto"/>
              <w:jc w:val="both"/>
              <w:rPr>
                <w:sz w:val="24"/>
                <w:szCs w:val="24"/>
              </w:rPr>
            </w:pPr>
          </w:p>
        </w:tc>
      </w:tr>
      <w:tr w:rsidR="00B25AD0" w14:paraId="6E8EAC81" w14:textId="77777777">
        <w:trPr>
          <w:trHeight w:val="440"/>
        </w:trPr>
        <w:tc>
          <w:tcPr>
            <w:tcW w:w="1965" w:type="dxa"/>
            <w:vMerge/>
            <w:shd w:val="clear" w:color="auto" w:fill="auto"/>
            <w:tcMar>
              <w:top w:w="100" w:type="dxa"/>
              <w:left w:w="100" w:type="dxa"/>
              <w:bottom w:w="100" w:type="dxa"/>
              <w:right w:w="100" w:type="dxa"/>
            </w:tcMar>
          </w:tcPr>
          <w:p w14:paraId="01572AA7" w14:textId="77777777" w:rsidR="00B25AD0" w:rsidRDefault="00B25AD0">
            <w:pPr>
              <w:widowControl w:val="0"/>
              <w:pBdr>
                <w:top w:val="nil"/>
                <w:left w:val="nil"/>
                <w:bottom w:val="nil"/>
                <w:right w:val="nil"/>
                <w:between w:val="nil"/>
              </w:pBdr>
              <w:spacing w:line="480" w:lineRule="auto"/>
              <w:jc w:val="both"/>
              <w:rPr>
                <w:sz w:val="24"/>
                <w:szCs w:val="24"/>
              </w:rPr>
            </w:pPr>
          </w:p>
        </w:tc>
        <w:tc>
          <w:tcPr>
            <w:tcW w:w="2475" w:type="dxa"/>
            <w:shd w:val="clear" w:color="auto" w:fill="auto"/>
            <w:tcMar>
              <w:top w:w="100" w:type="dxa"/>
              <w:left w:w="100" w:type="dxa"/>
              <w:bottom w:w="100" w:type="dxa"/>
              <w:right w:w="100" w:type="dxa"/>
            </w:tcMar>
          </w:tcPr>
          <w:p w14:paraId="080BFCD2" w14:textId="77777777" w:rsidR="00B25AD0" w:rsidRDefault="008C3CF6">
            <w:pPr>
              <w:widowControl w:val="0"/>
              <w:pBdr>
                <w:top w:val="nil"/>
                <w:left w:val="nil"/>
                <w:bottom w:val="nil"/>
                <w:right w:val="nil"/>
                <w:between w:val="nil"/>
              </w:pBdr>
              <w:spacing w:line="240" w:lineRule="auto"/>
              <w:jc w:val="both"/>
              <w:rPr>
                <w:sz w:val="24"/>
                <w:szCs w:val="24"/>
              </w:rPr>
            </w:pPr>
            <w:r>
              <w:rPr>
                <w:sz w:val="24"/>
                <w:szCs w:val="24"/>
              </w:rPr>
              <w:t>Más de dos dispositivos invasivos</w:t>
            </w:r>
          </w:p>
        </w:tc>
        <w:tc>
          <w:tcPr>
            <w:tcW w:w="1755" w:type="dxa"/>
            <w:shd w:val="clear" w:color="auto" w:fill="auto"/>
            <w:tcMar>
              <w:top w:w="100" w:type="dxa"/>
              <w:left w:w="100" w:type="dxa"/>
              <w:bottom w:w="100" w:type="dxa"/>
              <w:right w:w="100" w:type="dxa"/>
            </w:tcMar>
          </w:tcPr>
          <w:p w14:paraId="4EEEC7F3" w14:textId="77777777" w:rsidR="00B25AD0" w:rsidRDefault="008C3CF6">
            <w:pPr>
              <w:widowControl w:val="0"/>
              <w:pBdr>
                <w:top w:val="nil"/>
                <w:left w:val="nil"/>
                <w:bottom w:val="nil"/>
                <w:right w:val="nil"/>
                <w:between w:val="nil"/>
              </w:pBdr>
              <w:spacing w:line="240" w:lineRule="auto"/>
              <w:jc w:val="both"/>
              <w:rPr>
                <w:sz w:val="24"/>
                <w:szCs w:val="24"/>
              </w:rPr>
            </w:pPr>
            <w:r>
              <w:rPr>
                <w:sz w:val="24"/>
                <w:szCs w:val="24"/>
              </w:rPr>
              <w:t>18, 27</w:t>
            </w:r>
          </w:p>
        </w:tc>
        <w:tc>
          <w:tcPr>
            <w:tcW w:w="1710" w:type="dxa"/>
            <w:shd w:val="clear" w:color="auto" w:fill="auto"/>
            <w:tcMar>
              <w:top w:w="100" w:type="dxa"/>
              <w:left w:w="100" w:type="dxa"/>
              <w:bottom w:w="100" w:type="dxa"/>
              <w:right w:w="100" w:type="dxa"/>
            </w:tcMar>
          </w:tcPr>
          <w:p w14:paraId="39799B71" w14:textId="77777777" w:rsidR="00B25AD0" w:rsidRDefault="008C3CF6">
            <w:pPr>
              <w:widowControl w:val="0"/>
              <w:pBdr>
                <w:top w:val="nil"/>
                <w:left w:val="nil"/>
                <w:bottom w:val="nil"/>
                <w:right w:val="nil"/>
                <w:between w:val="nil"/>
              </w:pBdr>
              <w:spacing w:line="240" w:lineRule="auto"/>
              <w:jc w:val="both"/>
              <w:rPr>
                <w:sz w:val="24"/>
                <w:szCs w:val="24"/>
              </w:rPr>
            </w:pPr>
            <w:r>
              <w:rPr>
                <w:sz w:val="24"/>
                <w:szCs w:val="24"/>
              </w:rPr>
              <w:t>2</w:t>
            </w:r>
          </w:p>
        </w:tc>
        <w:tc>
          <w:tcPr>
            <w:tcW w:w="1335" w:type="dxa"/>
            <w:vMerge/>
            <w:shd w:val="clear" w:color="auto" w:fill="auto"/>
            <w:tcMar>
              <w:top w:w="100" w:type="dxa"/>
              <w:left w:w="100" w:type="dxa"/>
              <w:bottom w:w="100" w:type="dxa"/>
              <w:right w:w="100" w:type="dxa"/>
            </w:tcMar>
          </w:tcPr>
          <w:p w14:paraId="094D1E43" w14:textId="77777777" w:rsidR="00B25AD0" w:rsidRDefault="00B25AD0">
            <w:pPr>
              <w:widowControl w:val="0"/>
              <w:pBdr>
                <w:top w:val="nil"/>
                <w:left w:val="nil"/>
                <w:bottom w:val="nil"/>
                <w:right w:val="nil"/>
                <w:between w:val="nil"/>
              </w:pBdr>
              <w:spacing w:line="480" w:lineRule="auto"/>
              <w:jc w:val="both"/>
              <w:rPr>
                <w:sz w:val="24"/>
                <w:szCs w:val="24"/>
              </w:rPr>
            </w:pPr>
          </w:p>
        </w:tc>
      </w:tr>
      <w:tr w:rsidR="00B25AD0" w14:paraId="5A64E883" w14:textId="77777777">
        <w:trPr>
          <w:trHeight w:val="440"/>
        </w:trPr>
        <w:tc>
          <w:tcPr>
            <w:tcW w:w="1965" w:type="dxa"/>
            <w:vMerge w:val="restart"/>
            <w:shd w:val="clear" w:color="auto" w:fill="auto"/>
            <w:tcMar>
              <w:top w:w="100" w:type="dxa"/>
              <w:left w:w="100" w:type="dxa"/>
              <w:bottom w:w="100" w:type="dxa"/>
              <w:right w:w="100" w:type="dxa"/>
            </w:tcMar>
          </w:tcPr>
          <w:p w14:paraId="727CCB98" w14:textId="77777777" w:rsidR="00B25AD0" w:rsidRDefault="008C3CF6">
            <w:pPr>
              <w:widowControl w:val="0"/>
              <w:pBdr>
                <w:top w:val="nil"/>
                <w:left w:val="nil"/>
                <w:bottom w:val="nil"/>
                <w:right w:val="nil"/>
                <w:between w:val="nil"/>
              </w:pBdr>
              <w:spacing w:line="240" w:lineRule="auto"/>
              <w:jc w:val="both"/>
            </w:pPr>
            <w:r>
              <w:rPr>
                <w:b/>
              </w:rPr>
              <w:t>Factores farmacológicos</w:t>
            </w:r>
          </w:p>
        </w:tc>
        <w:tc>
          <w:tcPr>
            <w:tcW w:w="2475" w:type="dxa"/>
            <w:shd w:val="clear" w:color="auto" w:fill="auto"/>
            <w:tcMar>
              <w:top w:w="100" w:type="dxa"/>
              <w:left w:w="100" w:type="dxa"/>
              <w:bottom w:w="100" w:type="dxa"/>
              <w:right w:w="100" w:type="dxa"/>
            </w:tcMar>
          </w:tcPr>
          <w:p w14:paraId="389B7470" w14:textId="77777777" w:rsidR="00B25AD0" w:rsidRDefault="008C3CF6">
            <w:pPr>
              <w:widowControl w:val="0"/>
              <w:pBdr>
                <w:top w:val="nil"/>
                <w:left w:val="nil"/>
                <w:bottom w:val="nil"/>
                <w:right w:val="nil"/>
                <w:between w:val="nil"/>
              </w:pBdr>
              <w:spacing w:line="240" w:lineRule="auto"/>
              <w:jc w:val="both"/>
              <w:rPr>
                <w:sz w:val="24"/>
                <w:szCs w:val="24"/>
              </w:rPr>
            </w:pPr>
            <w:r>
              <w:rPr>
                <w:sz w:val="24"/>
                <w:szCs w:val="24"/>
              </w:rPr>
              <w:t>Uso de benzodiacepinas/ sedantes</w:t>
            </w:r>
          </w:p>
        </w:tc>
        <w:tc>
          <w:tcPr>
            <w:tcW w:w="1755" w:type="dxa"/>
            <w:shd w:val="clear" w:color="auto" w:fill="auto"/>
            <w:tcMar>
              <w:top w:w="100" w:type="dxa"/>
              <w:left w:w="100" w:type="dxa"/>
              <w:bottom w:w="100" w:type="dxa"/>
              <w:right w:w="100" w:type="dxa"/>
            </w:tcMar>
          </w:tcPr>
          <w:p w14:paraId="3ECECE05" w14:textId="77777777" w:rsidR="00B25AD0" w:rsidRDefault="008C3CF6">
            <w:pPr>
              <w:widowControl w:val="0"/>
              <w:pBdr>
                <w:top w:val="nil"/>
                <w:left w:val="nil"/>
                <w:bottom w:val="nil"/>
                <w:right w:val="nil"/>
                <w:between w:val="nil"/>
              </w:pBdr>
              <w:spacing w:line="240" w:lineRule="auto"/>
              <w:jc w:val="both"/>
              <w:rPr>
                <w:sz w:val="24"/>
                <w:szCs w:val="24"/>
              </w:rPr>
            </w:pPr>
            <w:r>
              <w:rPr>
                <w:sz w:val="24"/>
                <w:szCs w:val="24"/>
              </w:rPr>
              <w:t>13, 14, 16, 17, 18, 19 20, 22, 23, 24</w:t>
            </w:r>
          </w:p>
        </w:tc>
        <w:tc>
          <w:tcPr>
            <w:tcW w:w="1710" w:type="dxa"/>
            <w:shd w:val="clear" w:color="auto" w:fill="auto"/>
            <w:tcMar>
              <w:top w:w="100" w:type="dxa"/>
              <w:left w:w="100" w:type="dxa"/>
              <w:bottom w:w="100" w:type="dxa"/>
              <w:right w:w="100" w:type="dxa"/>
            </w:tcMar>
          </w:tcPr>
          <w:p w14:paraId="1EC26DC9" w14:textId="77777777" w:rsidR="00B25AD0" w:rsidRDefault="008C3CF6">
            <w:pPr>
              <w:widowControl w:val="0"/>
              <w:pBdr>
                <w:top w:val="nil"/>
                <w:left w:val="nil"/>
                <w:bottom w:val="nil"/>
                <w:right w:val="nil"/>
                <w:between w:val="nil"/>
              </w:pBdr>
              <w:spacing w:line="240" w:lineRule="auto"/>
              <w:jc w:val="both"/>
              <w:rPr>
                <w:sz w:val="24"/>
                <w:szCs w:val="24"/>
              </w:rPr>
            </w:pPr>
            <w:r>
              <w:rPr>
                <w:sz w:val="24"/>
                <w:szCs w:val="24"/>
              </w:rPr>
              <w:t>10</w:t>
            </w:r>
          </w:p>
        </w:tc>
        <w:tc>
          <w:tcPr>
            <w:tcW w:w="1335" w:type="dxa"/>
            <w:vMerge w:val="restart"/>
            <w:shd w:val="clear" w:color="auto" w:fill="auto"/>
            <w:tcMar>
              <w:top w:w="100" w:type="dxa"/>
              <w:left w:w="100" w:type="dxa"/>
              <w:bottom w:w="100" w:type="dxa"/>
              <w:right w:w="100" w:type="dxa"/>
            </w:tcMar>
          </w:tcPr>
          <w:p w14:paraId="23FA74F0" w14:textId="77777777" w:rsidR="00B25AD0" w:rsidRDefault="008C3CF6">
            <w:pPr>
              <w:widowControl w:val="0"/>
              <w:pBdr>
                <w:top w:val="nil"/>
                <w:left w:val="nil"/>
                <w:bottom w:val="nil"/>
                <w:right w:val="nil"/>
                <w:between w:val="nil"/>
              </w:pBdr>
              <w:spacing w:line="240" w:lineRule="auto"/>
              <w:jc w:val="both"/>
              <w:rPr>
                <w:sz w:val="24"/>
                <w:szCs w:val="24"/>
              </w:rPr>
            </w:pPr>
            <w:r>
              <w:rPr>
                <w:sz w:val="24"/>
                <w:szCs w:val="24"/>
              </w:rPr>
              <w:t>11 (31,4%)</w:t>
            </w:r>
          </w:p>
        </w:tc>
      </w:tr>
      <w:tr w:rsidR="00B25AD0" w14:paraId="2376EC8B" w14:textId="77777777">
        <w:trPr>
          <w:trHeight w:val="440"/>
        </w:trPr>
        <w:tc>
          <w:tcPr>
            <w:tcW w:w="1965" w:type="dxa"/>
            <w:vMerge/>
            <w:shd w:val="clear" w:color="auto" w:fill="auto"/>
            <w:tcMar>
              <w:top w:w="100" w:type="dxa"/>
              <w:left w:w="100" w:type="dxa"/>
              <w:bottom w:w="100" w:type="dxa"/>
              <w:right w:w="100" w:type="dxa"/>
            </w:tcMar>
          </w:tcPr>
          <w:p w14:paraId="6C38D4CF" w14:textId="77777777" w:rsidR="00B25AD0" w:rsidRDefault="00B25AD0">
            <w:pPr>
              <w:widowControl w:val="0"/>
              <w:pBdr>
                <w:top w:val="nil"/>
                <w:left w:val="nil"/>
                <w:bottom w:val="nil"/>
                <w:right w:val="nil"/>
                <w:between w:val="nil"/>
              </w:pBdr>
              <w:spacing w:line="480" w:lineRule="auto"/>
              <w:jc w:val="both"/>
              <w:rPr>
                <w:sz w:val="24"/>
                <w:szCs w:val="24"/>
              </w:rPr>
            </w:pPr>
          </w:p>
        </w:tc>
        <w:tc>
          <w:tcPr>
            <w:tcW w:w="2475" w:type="dxa"/>
            <w:shd w:val="clear" w:color="auto" w:fill="auto"/>
            <w:tcMar>
              <w:top w:w="100" w:type="dxa"/>
              <w:left w:w="100" w:type="dxa"/>
              <w:bottom w:w="100" w:type="dxa"/>
              <w:right w:w="100" w:type="dxa"/>
            </w:tcMar>
          </w:tcPr>
          <w:p w14:paraId="5B4906A1" w14:textId="77777777" w:rsidR="00B25AD0" w:rsidRDefault="008C3CF6">
            <w:pPr>
              <w:widowControl w:val="0"/>
              <w:pBdr>
                <w:top w:val="nil"/>
                <w:left w:val="nil"/>
                <w:bottom w:val="nil"/>
                <w:right w:val="nil"/>
                <w:between w:val="nil"/>
              </w:pBdr>
              <w:spacing w:line="240" w:lineRule="auto"/>
              <w:jc w:val="both"/>
              <w:rPr>
                <w:sz w:val="24"/>
                <w:szCs w:val="24"/>
              </w:rPr>
            </w:pPr>
            <w:r>
              <w:rPr>
                <w:sz w:val="24"/>
                <w:szCs w:val="24"/>
              </w:rPr>
              <w:t>Polifarmacia</w:t>
            </w:r>
          </w:p>
        </w:tc>
        <w:tc>
          <w:tcPr>
            <w:tcW w:w="1755" w:type="dxa"/>
            <w:shd w:val="clear" w:color="auto" w:fill="auto"/>
            <w:tcMar>
              <w:top w:w="100" w:type="dxa"/>
              <w:left w:w="100" w:type="dxa"/>
              <w:bottom w:w="100" w:type="dxa"/>
              <w:right w:w="100" w:type="dxa"/>
            </w:tcMar>
          </w:tcPr>
          <w:p w14:paraId="1B902B07" w14:textId="77777777" w:rsidR="00B25AD0" w:rsidRDefault="008C3CF6">
            <w:pPr>
              <w:widowControl w:val="0"/>
              <w:pBdr>
                <w:top w:val="nil"/>
                <w:left w:val="nil"/>
                <w:bottom w:val="nil"/>
                <w:right w:val="nil"/>
                <w:between w:val="nil"/>
              </w:pBdr>
              <w:spacing w:line="240" w:lineRule="auto"/>
              <w:jc w:val="both"/>
              <w:rPr>
                <w:sz w:val="24"/>
                <w:szCs w:val="24"/>
              </w:rPr>
            </w:pPr>
            <w:r>
              <w:rPr>
                <w:sz w:val="24"/>
                <w:szCs w:val="24"/>
              </w:rPr>
              <w:t>27, 16</w:t>
            </w:r>
          </w:p>
        </w:tc>
        <w:tc>
          <w:tcPr>
            <w:tcW w:w="1710" w:type="dxa"/>
            <w:shd w:val="clear" w:color="auto" w:fill="auto"/>
            <w:tcMar>
              <w:top w:w="100" w:type="dxa"/>
              <w:left w:w="100" w:type="dxa"/>
              <w:bottom w:w="100" w:type="dxa"/>
              <w:right w:w="100" w:type="dxa"/>
            </w:tcMar>
          </w:tcPr>
          <w:p w14:paraId="04CF6B89" w14:textId="77777777" w:rsidR="00B25AD0" w:rsidRDefault="008C3CF6">
            <w:pPr>
              <w:widowControl w:val="0"/>
              <w:pBdr>
                <w:top w:val="nil"/>
                <w:left w:val="nil"/>
                <w:bottom w:val="nil"/>
                <w:right w:val="nil"/>
                <w:between w:val="nil"/>
              </w:pBdr>
              <w:spacing w:line="240" w:lineRule="auto"/>
              <w:jc w:val="both"/>
              <w:rPr>
                <w:sz w:val="24"/>
                <w:szCs w:val="24"/>
              </w:rPr>
            </w:pPr>
            <w:r>
              <w:rPr>
                <w:sz w:val="24"/>
                <w:szCs w:val="24"/>
              </w:rPr>
              <w:t>2</w:t>
            </w:r>
          </w:p>
        </w:tc>
        <w:tc>
          <w:tcPr>
            <w:tcW w:w="1335" w:type="dxa"/>
            <w:vMerge/>
            <w:shd w:val="clear" w:color="auto" w:fill="auto"/>
            <w:tcMar>
              <w:top w:w="100" w:type="dxa"/>
              <w:left w:w="100" w:type="dxa"/>
              <w:bottom w:w="100" w:type="dxa"/>
              <w:right w:w="100" w:type="dxa"/>
            </w:tcMar>
          </w:tcPr>
          <w:p w14:paraId="245D1EE5" w14:textId="77777777" w:rsidR="00B25AD0" w:rsidRDefault="00B25AD0">
            <w:pPr>
              <w:widowControl w:val="0"/>
              <w:pBdr>
                <w:top w:val="nil"/>
                <w:left w:val="nil"/>
                <w:bottom w:val="nil"/>
                <w:right w:val="nil"/>
                <w:between w:val="nil"/>
              </w:pBdr>
              <w:spacing w:line="480" w:lineRule="auto"/>
              <w:jc w:val="both"/>
              <w:rPr>
                <w:sz w:val="24"/>
                <w:szCs w:val="24"/>
              </w:rPr>
            </w:pPr>
          </w:p>
        </w:tc>
      </w:tr>
      <w:tr w:rsidR="00B25AD0" w14:paraId="74F8A6CE" w14:textId="77777777">
        <w:trPr>
          <w:trHeight w:val="440"/>
        </w:trPr>
        <w:tc>
          <w:tcPr>
            <w:tcW w:w="1965" w:type="dxa"/>
            <w:vMerge w:val="restart"/>
            <w:shd w:val="clear" w:color="auto" w:fill="auto"/>
            <w:tcMar>
              <w:top w:w="100" w:type="dxa"/>
              <w:left w:w="100" w:type="dxa"/>
              <w:bottom w:w="100" w:type="dxa"/>
              <w:right w:w="100" w:type="dxa"/>
            </w:tcMar>
          </w:tcPr>
          <w:p w14:paraId="245D5090" w14:textId="77777777" w:rsidR="00B25AD0" w:rsidRDefault="008C3CF6">
            <w:pPr>
              <w:widowControl w:val="0"/>
              <w:pBdr>
                <w:top w:val="nil"/>
                <w:left w:val="nil"/>
                <w:bottom w:val="nil"/>
                <w:right w:val="nil"/>
                <w:between w:val="nil"/>
              </w:pBdr>
              <w:spacing w:line="240" w:lineRule="auto"/>
              <w:jc w:val="both"/>
            </w:pPr>
            <w:r>
              <w:rPr>
                <w:b/>
              </w:rPr>
              <w:t>Factores Quirúrgicos</w:t>
            </w:r>
          </w:p>
        </w:tc>
        <w:tc>
          <w:tcPr>
            <w:tcW w:w="2475" w:type="dxa"/>
            <w:shd w:val="clear" w:color="auto" w:fill="auto"/>
            <w:tcMar>
              <w:top w:w="100" w:type="dxa"/>
              <w:left w:w="100" w:type="dxa"/>
              <w:bottom w:w="100" w:type="dxa"/>
              <w:right w:w="100" w:type="dxa"/>
            </w:tcMar>
          </w:tcPr>
          <w:p w14:paraId="2AE86367" w14:textId="77777777" w:rsidR="00B25AD0" w:rsidRDefault="008C3CF6">
            <w:pPr>
              <w:widowControl w:val="0"/>
              <w:pBdr>
                <w:top w:val="nil"/>
                <w:left w:val="nil"/>
                <w:bottom w:val="nil"/>
                <w:right w:val="nil"/>
                <w:between w:val="nil"/>
              </w:pBdr>
              <w:spacing w:line="240" w:lineRule="auto"/>
              <w:jc w:val="both"/>
              <w:rPr>
                <w:sz w:val="24"/>
                <w:szCs w:val="24"/>
              </w:rPr>
            </w:pPr>
            <w:r>
              <w:rPr>
                <w:sz w:val="24"/>
                <w:szCs w:val="24"/>
              </w:rPr>
              <w:t>Cirugía</w:t>
            </w:r>
          </w:p>
        </w:tc>
        <w:tc>
          <w:tcPr>
            <w:tcW w:w="1755" w:type="dxa"/>
            <w:shd w:val="clear" w:color="auto" w:fill="auto"/>
            <w:tcMar>
              <w:top w:w="100" w:type="dxa"/>
              <w:left w:w="100" w:type="dxa"/>
              <w:bottom w:w="100" w:type="dxa"/>
              <w:right w:w="100" w:type="dxa"/>
            </w:tcMar>
          </w:tcPr>
          <w:p w14:paraId="303A3E03" w14:textId="77777777" w:rsidR="00B25AD0" w:rsidRDefault="008C3CF6">
            <w:pPr>
              <w:widowControl w:val="0"/>
              <w:pBdr>
                <w:top w:val="nil"/>
                <w:left w:val="nil"/>
                <w:bottom w:val="nil"/>
                <w:right w:val="nil"/>
                <w:between w:val="nil"/>
              </w:pBdr>
              <w:spacing w:line="240" w:lineRule="auto"/>
              <w:jc w:val="both"/>
              <w:rPr>
                <w:sz w:val="24"/>
                <w:szCs w:val="24"/>
              </w:rPr>
            </w:pPr>
            <w:r>
              <w:rPr>
                <w:sz w:val="24"/>
                <w:szCs w:val="24"/>
              </w:rPr>
              <w:t>16, 25, 18, 20</w:t>
            </w:r>
          </w:p>
        </w:tc>
        <w:tc>
          <w:tcPr>
            <w:tcW w:w="1710" w:type="dxa"/>
            <w:shd w:val="clear" w:color="auto" w:fill="auto"/>
            <w:tcMar>
              <w:top w:w="100" w:type="dxa"/>
              <w:left w:w="100" w:type="dxa"/>
              <w:bottom w:w="100" w:type="dxa"/>
              <w:right w:w="100" w:type="dxa"/>
            </w:tcMar>
          </w:tcPr>
          <w:p w14:paraId="4569B987" w14:textId="77777777" w:rsidR="00B25AD0" w:rsidRDefault="008C3CF6">
            <w:pPr>
              <w:widowControl w:val="0"/>
              <w:pBdr>
                <w:top w:val="nil"/>
                <w:left w:val="nil"/>
                <w:bottom w:val="nil"/>
                <w:right w:val="nil"/>
                <w:between w:val="nil"/>
              </w:pBdr>
              <w:spacing w:line="240" w:lineRule="auto"/>
              <w:jc w:val="both"/>
              <w:rPr>
                <w:sz w:val="24"/>
                <w:szCs w:val="24"/>
              </w:rPr>
            </w:pPr>
            <w:r>
              <w:rPr>
                <w:sz w:val="24"/>
                <w:szCs w:val="24"/>
              </w:rPr>
              <w:t>4</w:t>
            </w:r>
          </w:p>
        </w:tc>
        <w:tc>
          <w:tcPr>
            <w:tcW w:w="1335" w:type="dxa"/>
            <w:vMerge w:val="restart"/>
            <w:shd w:val="clear" w:color="auto" w:fill="auto"/>
            <w:tcMar>
              <w:top w:w="100" w:type="dxa"/>
              <w:left w:w="100" w:type="dxa"/>
              <w:bottom w:w="100" w:type="dxa"/>
              <w:right w:w="100" w:type="dxa"/>
            </w:tcMar>
          </w:tcPr>
          <w:p w14:paraId="03FF51FA" w14:textId="77777777" w:rsidR="00B25AD0" w:rsidRDefault="008C3CF6">
            <w:pPr>
              <w:widowControl w:val="0"/>
              <w:pBdr>
                <w:top w:val="nil"/>
                <w:left w:val="nil"/>
                <w:bottom w:val="nil"/>
                <w:right w:val="nil"/>
                <w:between w:val="nil"/>
              </w:pBdr>
              <w:spacing w:line="240" w:lineRule="auto"/>
              <w:jc w:val="both"/>
              <w:rPr>
                <w:sz w:val="24"/>
                <w:szCs w:val="24"/>
              </w:rPr>
            </w:pPr>
            <w:r>
              <w:rPr>
                <w:sz w:val="24"/>
                <w:szCs w:val="24"/>
              </w:rPr>
              <w:t>5 (14,3%)</w:t>
            </w:r>
          </w:p>
        </w:tc>
      </w:tr>
      <w:tr w:rsidR="00B25AD0" w14:paraId="085CC272" w14:textId="77777777">
        <w:trPr>
          <w:trHeight w:val="440"/>
        </w:trPr>
        <w:tc>
          <w:tcPr>
            <w:tcW w:w="1965" w:type="dxa"/>
            <w:vMerge/>
            <w:shd w:val="clear" w:color="auto" w:fill="auto"/>
            <w:tcMar>
              <w:top w:w="100" w:type="dxa"/>
              <w:left w:w="100" w:type="dxa"/>
              <w:bottom w:w="100" w:type="dxa"/>
              <w:right w:w="100" w:type="dxa"/>
            </w:tcMar>
          </w:tcPr>
          <w:p w14:paraId="02241584" w14:textId="77777777" w:rsidR="00B25AD0" w:rsidRDefault="00B25AD0">
            <w:pPr>
              <w:widowControl w:val="0"/>
              <w:pBdr>
                <w:top w:val="nil"/>
                <w:left w:val="nil"/>
                <w:bottom w:val="nil"/>
                <w:right w:val="nil"/>
                <w:between w:val="nil"/>
              </w:pBdr>
              <w:spacing w:line="480" w:lineRule="auto"/>
              <w:jc w:val="both"/>
              <w:rPr>
                <w:sz w:val="24"/>
                <w:szCs w:val="24"/>
              </w:rPr>
            </w:pPr>
          </w:p>
        </w:tc>
        <w:tc>
          <w:tcPr>
            <w:tcW w:w="2475" w:type="dxa"/>
            <w:shd w:val="clear" w:color="auto" w:fill="auto"/>
            <w:tcMar>
              <w:top w:w="100" w:type="dxa"/>
              <w:left w:w="100" w:type="dxa"/>
              <w:bottom w:w="100" w:type="dxa"/>
              <w:right w:w="100" w:type="dxa"/>
            </w:tcMar>
          </w:tcPr>
          <w:p w14:paraId="3D5A12FD" w14:textId="77777777" w:rsidR="00B25AD0" w:rsidRDefault="008C3CF6">
            <w:pPr>
              <w:widowControl w:val="0"/>
              <w:pBdr>
                <w:top w:val="nil"/>
                <w:left w:val="nil"/>
                <w:bottom w:val="nil"/>
                <w:right w:val="nil"/>
                <w:between w:val="nil"/>
              </w:pBdr>
              <w:spacing w:line="240" w:lineRule="auto"/>
              <w:jc w:val="both"/>
              <w:rPr>
                <w:sz w:val="24"/>
                <w:szCs w:val="24"/>
              </w:rPr>
            </w:pPr>
            <w:r>
              <w:rPr>
                <w:sz w:val="24"/>
                <w:szCs w:val="24"/>
              </w:rPr>
              <w:t>Urgencia quirúrgica</w:t>
            </w:r>
          </w:p>
        </w:tc>
        <w:tc>
          <w:tcPr>
            <w:tcW w:w="1755" w:type="dxa"/>
            <w:shd w:val="clear" w:color="auto" w:fill="auto"/>
            <w:tcMar>
              <w:top w:w="100" w:type="dxa"/>
              <w:left w:w="100" w:type="dxa"/>
              <w:bottom w:w="100" w:type="dxa"/>
              <w:right w:w="100" w:type="dxa"/>
            </w:tcMar>
          </w:tcPr>
          <w:p w14:paraId="439749EE" w14:textId="77777777" w:rsidR="00B25AD0" w:rsidRDefault="008C3CF6">
            <w:pPr>
              <w:widowControl w:val="0"/>
              <w:pBdr>
                <w:top w:val="nil"/>
                <w:left w:val="nil"/>
                <w:bottom w:val="nil"/>
                <w:right w:val="nil"/>
                <w:between w:val="nil"/>
              </w:pBdr>
              <w:spacing w:line="240" w:lineRule="auto"/>
              <w:jc w:val="both"/>
              <w:rPr>
                <w:sz w:val="24"/>
                <w:szCs w:val="24"/>
              </w:rPr>
            </w:pPr>
            <w:r>
              <w:rPr>
                <w:sz w:val="24"/>
                <w:szCs w:val="24"/>
              </w:rPr>
              <w:t>13, 18</w:t>
            </w:r>
          </w:p>
        </w:tc>
        <w:tc>
          <w:tcPr>
            <w:tcW w:w="1710" w:type="dxa"/>
            <w:shd w:val="clear" w:color="auto" w:fill="auto"/>
            <w:tcMar>
              <w:top w:w="100" w:type="dxa"/>
              <w:left w:w="100" w:type="dxa"/>
              <w:bottom w:w="100" w:type="dxa"/>
              <w:right w:w="100" w:type="dxa"/>
            </w:tcMar>
          </w:tcPr>
          <w:p w14:paraId="1DFC0E06" w14:textId="77777777" w:rsidR="00B25AD0" w:rsidRDefault="008C3CF6">
            <w:pPr>
              <w:widowControl w:val="0"/>
              <w:pBdr>
                <w:top w:val="nil"/>
                <w:left w:val="nil"/>
                <w:bottom w:val="nil"/>
                <w:right w:val="nil"/>
                <w:between w:val="nil"/>
              </w:pBdr>
              <w:spacing w:line="240" w:lineRule="auto"/>
              <w:jc w:val="both"/>
              <w:rPr>
                <w:sz w:val="24"/>
                <w:szCs w:val="24"/>
              </w:rPr>
            </w:pPr>
            <w:r>
              <w:rPr>
                <w:sz w:val="24"/>
                <w:szCs w:val="24"/>
              </w:rPr>
              <w:t>2</w:t>
            </w:r>
          </w:p>
        </w:tc>
        <w:tc>
          <w:tcPr>
            <w:tcW w:w="1335" w:type="dxa"/>
            <w:vMerge/>
            <w:shd w:val="clear" w:color="auto" w:fill="auto"/>
            <w:tcMar>
              <w:top w:w="100" w:type="dxa"/>
              <w:left w:w="100" w:type="dxa"/>
              <w:bottom w:w="100" w:type="dxa"/>
              <w:right w:w="100" w:type="dxa"/>
            </w:tcMar>
          </w:tcPr>
          <w:p w14:paraId="69B2B87F" w14:textId="77777777" w:rsidR="00B25AD0" w:rsidRDefault="00B25AD0">
            <w:pPr>
              <w:widowControl w:val="0"/>
              <w:pBdr>
                <w:top w:val="nil"/>
                <w:left w:val="nil"/>
                <w:bottom w:val="nil"/>
                <w:right w:val="nil"/>
                <w:between w:val="nil"/>
              </w:pBdr>
              <w:spacing w:line="480" w:lineRule="auto"/>
              <w:jc w:val="both"/>
              <w:rPr>
                <w:sz w:val="24"/>
                <w:szCs w:val="24"/>
              </w:rPr>
            </w:pPr>
          </w:p>
        </w:tc>
      </w:tr>
    </w:tbl>
    <w:p w14:paraId="699C4EE0" w14:textId="181EFAA4" w:rsidR="00B25AD0" w:rsidRDefault="008C3CF6">
      <w:pPr>
        <w:spacing w:line="480" w:lineRule="auto"/>
        <w:jc w:val="both"/>
        <w:rPr>
          <w:sz w:val="24"/>
          <w:szCs w:val="24"/>
        </w:rPr>
      </w:pPr>
      <w:commentRangeStart w:id="5"/>
      <w:r>
        <w:rPr>
          <w:b/>
          <w:sz w:val="24"/>
          <w:szCs w:val="24"/>
        </w:rPr>
        <w:t>Tabla 2.</w:t>
      </w:r>
      <w:r>
        <w:rPr>
          <w:sz w:val="24"/>
          <w:szCs w:val="24"/>
        </w:rPr>
        <w:t xml:space="preserve"> Tabla de clasificación de factores precipitantes del delirio, elaboración propia, octubre 2022.</w:t>
      </w:r>
      <w:commentRangeEnd w:id="5"/>
      <w:r w:rsidR="008679D1">
        <w:rPr>
          <w:rStyle w:val="Refdecomentario"/>
        </w:rPr>
        <w:commentReference w:id="5"/>
      </w:r>
    </w:p>
    <w:p w14:paraId="7782281D" w14:textId="77777777" w:rsidR="008679D1" w:rsidRDefault="008679D1">
      <w:pPr>
        <w:spacing w:line="480" w:lineRule="auto"/>
        <w:jc w:val="both"/>
        <w:rPr>
          <w:b/>
          <w:sz w:val="24"/>
          <w:szCs w:val="24"/>
        </w:rPr>
      </w:pPr>
    </w:p>
    <w:p w14:paraId="2C8AE1CF" w14:textId="77777777" w:rsidR="00B25AD0" w:rsidRDefault="008C3CF6">
      <w:pPr>
        <w:numPr>
          <w:ilvl w:val="1"/>
          <w:numId w:val="2"/>
        </w:numPr>
        <w:spacing w:line="480" w:lineRule="auto"/>
        <w:jc w:val="both"/>
        <w:rPr>
          <w:b/>
          <w:sz w:val="24"/>
          <w:szCs w:val="24"/>
          <w:highlight w:val="white"/>
        </w:rPr>
      </w:pPr>
      <w:r>
        <w:rPr>
          <w:b/>
          <w:sz w:val="24"/>
          <w:szCs w:val="24"/>
          <w:highlight w:val="white"/>
        </w:rPr>
        <w:t xml:space="preserve">Discusión </w:t>
      </w:r>
    </w:p>
    <w:p w14:paraId="67059465" w14:textId="77777777" w:rsidR="00B25AD0" w:rsidRDefault="008C3CF6">
      <w:pPr>
        <w:spacing w:line="480" w:lineRule="auto"/>
        <w:jc w:val="both"/>
        <w:rPr>
          <w:sz w:val="24"/>
          <w:szCs w:val="24"/>
        </w:rPr>
      </w:pPr>
      <w:r>
        <w:rPr>
          <w:sz w:val="24"/>
          <w:szCs w:val="24"/>
        </w:rPr>
        <w:t>Podemos desprender, desde los resultados mencionados anteriormente, que los factores precipitantes más prevalentes para desarrollar delirio en una Unidad de Cuidados Intensivos, son los factores farmacológicos (31,4%) en pacientes adultos mayores hospitalizados.</w:t>
      </w:r>
    </w:p>
    <w:p w14:paraId="5C1ACA7F" w14:textId="77777777" w:rsidR="00B25AD0" w:rsidRDefault="008C3CF6">
      <w:pPr>
        <w:spacing w:line="480" w:lineRule="auto"/>
        <w:jc w:val="both"/>
        <w:rPr>
          <w:sz w:val="24"/>
          <w:szCs w:val="24"/>
        </w:rPr>
      </w:pPr>
      <w:r>
        <w:rPr>
          <w:sz w:val="24"/>
          <w:szCs w:val="24"/>
        </w:rPr>
        <w:t xml:space="preserve">Otra de las categorías agrupadas, como factor precipitante, son los factores fisiopatológicos (25,7%), destacándose las infecciones, principalmente sepsis, infección renal aguda, anemia, dolor, hipoxia, trastornos metabólicos y trastornos hidroelectrolíticos, los que se relacionan con los procesos agudos previos o durante la hospitalización en la Unidad de Cuidados Intensivos. </w:t>
      </w:r>
    </w:p>
    <w:p w14:paraId="0AD741E2" w14:textId="77777777" w:rsidR="00B25AD0" w:rsidRDefault="008C3CF6">
      <w:pPr>
        <w:spacing w:line="480" w:lineRule="auto"/>
        <w:jc w:val="both"/>
        <w:rPr>
          <w:sz w:val="24"/>
          <w:szCs w:val="24"/>
        </w:rPr>
      </w:pPr>
      <w:r>
        <w:rPr>
          <w:sz w:val="24"/>
          <w:szCs w:val="24"/>
        </w:rPr>
        <w:t xml:space="preserve">Así pues, los factores quirúrgicos (14,3%) son un riesgo potencial a desarrollar delirio, destacándose entre ellos, la cirugía y urgencias quirúrgicas, lo que se relaciona </w:t>
      </w:r>
      <w:r>
        <w:rPr>
          <w:sz w:val="24"/>
          <w:szCs w:val="24"/>
        </w:rPr>
        <w:lastRenderedPageBreak/>
        <w:t xml:space="preserve">principalmente a las reacciones adversas que causan los fármacos que se administran en el periodo pre y post operatorio. Adicionalmente, las cirugías son intrínsecamente un agente estresor para el usuario, al someterse a esta intervención y su posterior proceso de recuperación en una UCI, por lo que también puede ser un factor para desarrollar delirio. </w:t>
      </w:r>
    </w:p>
    <w:p w14:paraId="7F07231C" w14:textId="77777777" w:rsidR="00B25AD0" w:rsidRDefault="008C3CF6">
      <w:pPr>
        <w:spacing w:line="480" w:lineRule="auto"/>
        <w:jc w:val="both"/>
        <w:rPr>
          <w:sz w:val="24"/>
          <w:szCs w:val="24"/>
        </w:rPr>
      </w:pPr>
      <w:r>
        <w:rPr>
          <w:sz w:val="24"/>
          <w:szCs w:val="24"/>
        </w:rPr>
        <w:t>Además de los factores antes mencionados, se encuentran otros factores estresores o ambientales (28,6%). Estos se describen como precipitantes al estar relacionados usualmente a dispositivos activos, que producen contaminación acústica en la unidad, como en el caso de las bombas de infusión continua (BIC) que se utilizan en pacientes internados para la administración de tratamiento farmacológico y el sonido constante del monitor de multiparámetros, que nos va indicando el estado vital del usuario y que conlleva a la dificultad para conciliar el sueño</w:t>
      </w:r>
      <w:r>
        <w:rPr>
          <w:sz w:val="24"/>
          <w:szCs w:val="24"/>
          <w:vertAlign w:val="superscript"/>
        </w:rPr>
        <w:t>30</w:t>
      </w:r>
      <w:r>
        <w:rPr>
          <w:sz w:val="24"/>
          <w:szCs w:val="24"/>
        </w:rPr>
        <w:t xml:space="preserve">, además de desencadenar un cuadro de confusión en los pacientes. </w:t>
      </w:r>
    </w:p>
    <w:p w14:paraId="4FDAE939" w14:textId="77777777" w:rsidR="00B25AD0" w:rsidRDefault="008C3CF6">
      <w:pPr>
        <w:spacing w:line="480" w:lineRule="auto"/>
        <w:jc w:val="both"/>
        <w:rPr>
          <w:sz w:val="24"/>
          <w:szCs w:val="24"/>
        </w:rPr>
      </w:pPr>
      <w:r>
        <w:rPr>
          <w:sz w:val="24"/>
          <w:szCs w:val="24"/>
        </w:rPr>
        <w:t>Los adultos mayores hospitalizados en la Unidad de Cuidados Intensivos se enfrentan a factores precipitantes que contribuyen a un desarrollo de delirio, siendo los factores farmacológicos los más predominantes, relacionándose con la utilización de benzodiacepinas/sedantes en la unidad, como en el uso de sedoanalgesia en la intubación rápida, y también, en el manejo prolongado de ventilación mecánica</w:t>
      </w:r>
      <w:r>
        <w:rPr>
          <w:sz w:val="24"/>
          <w:szCs w:val="24"/>
          <w:vertAlign w:val="superscript"/>
        </w:rPr>
        <w:t>29</w:t>
      </w:r>
      <w:r>
        <w:rPr>
          <w:sz w:val="24"/>
          <w:szCs w:val="24"/>
        </w:rPr>
        <w:t xml:space="preserve">, en conjunto con la polifarmacia del usuario antes y durante la hospitalización. </w:t>
      </w:r>
    </w:p>
    <w:p w14:paraId="1C3219E2" w14:textId="26134095" w:rsidR="00B25AD0" w:rsidRDefault="008C3CF6">
      <w:pPr>
        <w:spacing w:line="480" w:lineRule="auto"/>
        <w:jc w:val="both"/>
        <w:rPr>
          <w:sz w:val="24"/>
          <w:szCs w:val="24"/>
        </w:rPr>
      </w:pPr>
      <w:r>
        <w:rPr>
          <w:sz w:val="24"/>
          <w:szCs w:val="24"/>
        </w:rPr>
        <w:t xml:space="preserve">Es por eso que hay una relación directa de estos múltiples factores con el tiempo de exposición al entorno hospitalario que puede presentar el paciente con delirio, por lo que el cuidado de enfermería es fundamental para la prevención del delirio como lo indica el Modelo de Betty Neuman, que en su estudio menciona que se logró prevenir el delirio en hasta un 94% al aplicar la “Guía de cuidados de enfermería para controlar estresores del </w:t>
      </w:r>
      <w:r>
        <w:rPr>
          <w:sz w:val="24"/>
          <w:szCs w:val="24"/>
        </w:rPr>
        <w:lastRenderedPageBreak/>
        <w:t>entorno que pueden ocasionar delirium”</w:t>
      </w:r>
      <w:r>
        <w:rPr>
          <w:sz w:val="24"/>
          <w:szCs w:val="24"/>
          <w:vertAlign w:val="superscript"/>
        </w:rPr>
        <w:t>19</w:t>
      </w:r>
      <w:r>
        <w:rPr>
          <w:sz w:val="24"/>
          <w:szCs w:val="24"/>
        </w:rPr>
        <w:t>, por lo que es fundamental brindar una atención integral de calidad y tomar conciencia de lo importante que es abordar el delirio desde una perspectiva tanto farmacológica, como no farmacológica y, por consiguiente, humanizar los cuidados en las Unidades de Cuidados Intensivos y asimismo con este estudio permitir que se de la importancia de protocolizar el uso de sedo analgesia para estandarizar el manejo, disminución y prevención del delirio, en beneficio directo de los usuarios.</w:t>
      </w:r>
    </w:p>
    <w:p w14:paraId="4BA14AD4" w14:textId="77777777" w:rsidR="008679D1" w:rsidRDefault="008679D1">
      <w:pPr>
        <w:spacing w:line="480" w:lineRule="auto"/>
        <w:jc w:val="both"/>
        <w:rPr>
          <w:sz w:val="24"/>
          <w:szCs w:val="24"/>
        </w:rPr>
      </w:pPr>
    </w:p>
    <w:p w14:paraId="4917B557" w14:textId="77777777" w:rsidR="00B25AD0" w:rsidRDefault="008C3CF6">
      <w:pPr>
        <w:spacing w:line="480" w:lineRule="auto"/>
        <w:jc w:val="both"/>
        <w:rPr>
          <w:sz w:val="24"/>
          <w:szCs w:val="24"/>
          <w:highlight w:val="green"/>
        </w:rPr>
      </w:pPr>
      <w:r>
        <w:rPr>
          <w:b/>
          <w:sz w:val="24"/>
          <w:szCs w:val="24"/>
        </w:rPr>
        <w:t xml:space="preserve">       3.  CONCLUSIÓN</w:t>
      </w:r>
    </w:p>
    <w:p w14:paraId="2D9493F6" w14:textId="77777777" w:rsidR="00B25AD0" w:rsidRDefault="008C3CF6">
      <w:pPr>
        <w:spacing w:line="480" w:lineRule="auto"/>
        <w:jc w:val="both"/>
        <w:rPr>
          <w:sz w:val="24"/>
          <w:szCs w:val="24"/>
        </w:rPr>
      </w:pPr>
      <w:r>
        <w:rPr>
          <w:sz w:val="24"/>
          <w:szCs w:val="24"/>
        </w:rPr>
        <w:t>La información revisada en estos estudios permitió encontrar 17 investigaciones, que dieron respuesta al objetivo planteado, posibilitando describir los factores que precipitan el delirio en personas mayores en UCI, los cuales fueron agrupados en: Factores farmacológicos, factores fisiopatológicos, factores quirúrgicos y factores ambientales o estresores. Los resultados obtenidos permiten generar un conocimiento clave para la prevención del delirio en las Unidades de Cuidado Intensivos.</w:t>
      </w:r>
    </w:p>
    <w:p w14:paraId="37FD178A" w14:textId="77777777" w:rsidR="00B25AD0" w:rsidRDefault="008C3CF6">
      <w:pPr>
        <w:spacing w:line="480" w:lineRule="auto"/>
        <w:jc w:val="both"/>
        <w:rPr>
          <w:sz w:val="24"/>
          <w:szCs w:val="24"/>
          <w:highlight w:val="green"/>
        </w:rPr>
      </w:pPr>
      <w:r>
        <w:rPr>
          <w:sz w:val="24"/>
          <w:szCs w:val="24"/>
        </w:rPr>
        <w:t>El rol principal del profesional de Enfermería en las Unidades de Paciente Crítico es la gestión del cuidado y es de gran relevancia para la disciplina de enfermería reconocer y detectar precozmente los factores precipitantes de delirio, a través de instrumentos o pautas de cribado y así desarrollar actividades de prevención y/o manejo que aporten a la solución de esta problemática, que por consiguiente tendrá como resultado la disminución de días y el costo de hospitalización para los usuarios, el mejoramiento de la relación asistencial entre paciente-enfermera/o generando un ambiente grato donde se prioriza la escucha activa, una atención de calidad integral enfocada en las necesidades del usuario y la humanización de los cuidados intensivos.</w:t>
      </w:r>
    </w:p>
    <w:p w14:paraId="037CD471" w14:textId="77777777" w:rsidR="00B25AD0" w:rsidRDefault="008C3CF6">
      <w:pPr>
        <w:spacing w:line="480" w:lineRule="auto"/>
        <w:jc w:val="both"/>
        <w:rPr>
          <w:b/>
          <w:color w:val="353535"/>
          <w:sz w:val="24"/>
          <w:szCs w:val="24"/>
          <w:highlight w:val="white"/>
        </w:rPr>
      </w:pPr>
      <w:r>
        <w:rPr>
          <w:b/>
          <w:color w:val="353535"/>
          <w:sz w:val="24"/>
          <w:szCs w:val="24"/>
          <w:highlight w:val="white"/>
        </w:rPr>
        <w:lastRenderedPageBreak/>
        <w:t>RESPONSABILIDADES ÉTICAS</w:t>
      </w:r>
    </w:p>
    <w:p w14:paraId="66EE9537" w14:textId="77777777" w:rsidR="00B25AD0" w:rsidRDefault="008C3CF6">
      <w:pPr>
        <w:spacing w:line="480" w:lineRule="auto"/>
        <w:jc w:val="both"/>
        <w:rPr>
          <w:color w:val="353535"/>
          <w:sz w:val="24"/>
          <w:szCs w:val="24"/>
          <w:highlight w:val="white"/>
        </w:rPr>
      </w:pPr>
      <w:r>
        <w:rPr>
          <w:b/>
          <w:color w:val="353535"/>
          <w:sz w:val="24"/>
          <w:szCs w:val="24"/>
          <w:highlight w:val="white"/>
        </w:rPr>
        <w:t xml:space="preserve">Protección de personas y animales. </w:t>
      </w:r>
      <w:r>
        <w:rPr>
          <w:color w:val="353535"/>
          <w:sz w:val="24"/>
          <w:szCs w:val="24"/>
          <w:highlight w:val="white"/>
        </w:rPr>
        <w:t>En esta investigación se trabajó únicamente con documentos.</w:t>
      </w:r>
    </w:p>
    <w:p w14:paraId="69DF5896" w14:textId="77777777" w:rsidR="00B25AD0" w:rsidRDefault="008C3CF6">
      <w:pPr>
        <w:spacing w:line="480" w:lineRule="auto"/>
        <w:jc w:val="both"/>
        <w:rPr>
          <w:color w:val="353535"/>
          <w:sz w:val="24"/>
          <w:szCs w:val="24"/>
          <w:highlight w:val="white"/>
        </w:rPr>
      </w:pPr>
      <w:r>
        <w:rPr>
          <w:b/>
          <w:color w:val="353535"/>
          <w:sz w:val="24"/>
          <w:szCs w:val="24"/>
          <w:highlight w:val="white"/>
        </w:rPr>
        <w:t>Conflicto de interés.</w:t>
      </w:r>
      <w:r>
        <w:rPr>
          <w:color w:val="353535"/>
          <w:sz w:val="24"/>
          <w:szCs w:val="24"/>
          <w:highlight w:val="white"/>
        </w:rPr>
        <w:t xml:space="preserve"> Los autores declaran no tener conflicto de interés.</w:t>
      </w:r>
    </w:p>
    <w:p w14:paraId="38566B21" w14:textId="6064DD9C" w:rsidR="00B25AD0" w:rsidRDefault="008C3CF6">
      <w:pPr>
        <w:spacing w:line="480" w:lineRule="auto"/>
        <w:jc w:val="both"/>
        <w:rPr>
          <w:color w:val="353535"/>
          <w:sz w:val="24"/>
          <w:szCs w:val="24"/>
          <w:highlight w:val="white"/>
        </w:rPr>
      </w:pPr>
      <w:r>
        <w:rPr>
          <w:b/>
          <w:color w:val="353535"/>
          <w:sz w:val="24"/>
          <w:szCs w:val="24"/>
          <w:highlight w:val="white"/>
        </w:rPr>
        <w:t>Financiamiento.</w:t>
      </w:r>
      <w:r>
        <w:rPr>
          <w:color w:val="353535"/>
          <w:sz w:val="24"/>
          <w:szCs w:val="24"/>
          <w:highlight w:val="white"/>
        </w:rPr>
        <w:t xml:space="preserve"> Ninguno.</w:t>
      </w:r>
    </w:p>
    <w:p w14:paraId="1896A29C" w14:textId="77777777" w:rsidR="008679D1" w:rsidRDefault="008679D1">
      <w:pPr>
        <w:spacing w:line="480" w:lineRule="auto"/>
        <w:jc w:val="both"/>
        <w:rPr>
          <w:b/>
          <w:color w:val="353535"/>
          <w:sz w:val="24"/>
          <w:szCs w:val="24"/>
          <w:highlight w:val="white"/>
        </w:rPr>
      </w:pPr>
    </w:p>
    <w:p w14:paraId="66589565" w14:textId="77777777" w:rsidR="00B25AD0" w:rsidRDefault="008C3CF6">
      <w:pPr>
        <w:spacing w:line="480" w:lineRule="auto"/>
        <w:jc w:val="both"/>
        <w:rPr>
          <w:b/>
          <w:color w:val="353535"/>
          <w:sz w:val="24"/>
          <w:szCs w:val="24"/>
          <w:highlight w:val="white"/>
        </w:rPr>
      </w:pPr>
      <w:r>
        <w:rPr>
          <w:b/>
          <w:color w:val="353535"/>
          <w:sz w:val="24"/>
          <w:szCs w:val="24"/>
          <w:highlight w:val="white"/>
        </w:rPr>
        <w:t>AGRADECIMIENTOS</w:t>
      </w:r>
    </w:p>
    <w:p w14:paraId="6F683DAC" w14:textId="5C4B627F" w:rsidR="00B25AD0" w:rsidRDefault="008C3CF6">
      <w:pPr>
        <w:spacing w:line="480" w:lineRule="auto"/>
        <w:jc w:val="both"/>
        <w:rPr>
          <w:color w:val="353535"/>
          <w:sz w:val="24"/>
          <w:szCs w:val="24"/>
          <w:highlight w:val="white"/>
        </w:rPr>
      </w:pPr>
      <w:r>
        <w:rPr>
          <w:color w:val="353535"/>
          <w:sz w:val="24"/>
          <w:szCs w:val="24"/>
          <w:highlight w:val="white"/>
        </w:rPr>
        <w:t xml:space="preserve">Queremos agradecer a nuestros padres por ser siempre el motor que impulsa nuestros sueños y esperanzas, quienes estuvieron siempre a nuestro lado en los días y noches más difíciles durante las horas de estudio. Gracias por su paciencia y les dedicamos este logro, como una meta más conquistada. </w:t>
      </w:r>
    </w:p>
    <w:p w14:paraId="530E7CB9" w14:textId="77777777" w:rsidR="008679D1" w:rsidRDefault="008679D1">
      <w:pPr>
        <w:spacing w:line="480" w:lineRule="auto"/>
        <w:jc w:val="both"/>
        <w:rPr>
          <w:color w:val="353535"/>
          <w:sz w:val="24"/>
          <w:szCs w:val="24"/>
          <w:highlight w:val="white"/>
        </w:rPr>
      </w:pPr>
    </w:p>
    <w:p w14:paraId="0D12E49A" w14:textId="77777777" w:rsidR="00B25AD0" w:rsidRDefault="008C3CF6">
      <w:pPr>
        <w:spacing w:line="480" w:lineRule="auto"/>
        <w:jc w:val="both"/>
        <w:rPr>
          <w:b/>
          <w:color w:val="353535"/>
          <w:sz w:val="24"/>
          <w:szCs w:val="24"/>
          <w:highlight w:val="white"/>
        </w:rPr>
      </w:pPr>
      <w:r>
        <w:rPr>
          <w:b/>
          <w:color w:val="353535"/>
          <w:sz w:val="24"/>
          <w:szCs w:val="24"/>
          <w:highlight w:val="white"/>
        </w:rPr>
        <w:t>BIBLIOGRAFÍA</w:t>
      </w:r>
    </w:p>
    <w:p w14:paraId="28D897D4" w14:textId="77777777" w:rsidR="00B25AD0" w:rsidRDefault="008C3CF6">
      <w:pPr>
        <w:numPr>
          <w:ilvl w:val="0"/>
          <w:numId w:val="1"/>
        </w:numPr>
        <w:spacing w:line="480" w:lineRule="auto"/>
        <w:jc w:val="both"/>
        <w:rPr>
          <w:color w:val="353535"/>
          <w:sz w:val="24"/>
          <w:szCs w:val="24"/>
          <w:highlight w:val="white"/>
        </w:rPr>
      </w:pPr>
      <w:r>
        <w:rPr>
          <w:color w:val="353535"/>
          <w:sz w:val="24"/>
          <w:szCs w:val="24"/>
          <w:highlight w:val="white"/>
        </w:rPr>
        <w:t xml:space="preserve">Palacio J, M. El delirio en la UCI, una revisión narrativa de la evidencia existente. Revista científica del CODEM. Colegio Oficial de Enfermería de Madrid. [Internet]. 2021. [citado el 5 de septiembre del 2022] Disponible en: </w:t>
      </w:r>
      <w:hyperlink r:id="rId18">
        <w:r>
          <w:rPr>
            <w:sz w:val="24"/>
            <w:szCs w:val="24"/>
            <w:highlight w:val="white"/>
            <w:u w:val="single"/>
          </w:rPr>
          <w:t>https://conocimientoenfermero.es/index.php/ce/article/view/165/94</w:t>
        </w:r>
      </w:hyperlink>
    </w:p>
    <w:p w14:paraId="1845561E" w14:textId="77777777" w:rsidR="00B25AD0" w:rsidRDefault="008C3CF6">
      <w:pPr>
        <w:numPr>
          <w:ilvl w:val="0"/>
          <w:numId w:val="1"/>
        </w:numPr>
        <w:spacing w:line="480" w:lineRule="auto"/>
        <w:jc w:val="both"/>
        <w:rPr>
          <w:sz w:val="24"/>
          <w:szCs w:val="24"/>
          <w:highlight w:val="white"/>
        </w:rPr>
      </w:pPr>
      <w:r>
        <w:rPr>
          <w:sz w:val="24"/>
          <w:szCs w:val="24"/>
          <w:highlight w:val="white"/>
        </w:rPr>
        <w:t xml:space="preserve">Minsal [Internet]. Ministerio de Salud. Manual de Geriatría para Médicos. 2019. [citado el 5 de septiembre del 2022]. Disponible en: </w:t>
      </w:r>
      <w:hyperlink r:id="rId19">
        <w:r>
          <w:rPr>
            <w:sz w:val="24"/>
            <w:szCs w:val="24"/>
            <w:highlight w:val="white"/>
            <w:u w:val="single"/>
          </w:rPr>
          <w:t>https://www.minsal.cl/wp-content/uploads/2019/08/2019.08.13_MANUAL-DE-GERIATRIA-PARA-MEDICOS.pdf</w:t>
        </w:r>
      </w:hyperlink>
    </w:p>
    <w:p w14:paraId="370575EB" w14:textId="77777777" w:rsidR="00B25AD0" w:rsidRDefault="008C3CF6">
      <w:pPr>
        <w:numPr>
          <w:ilvl w:val="0"/>
          <w:numId w:val="1"/>
        </w:numPr>
        <w:spacing w:line="480" w:lineRule="auto"/>
        <w:jc w:val="both"/>
        <w:rPr>
          <w:sz w:val="24"/>
          <w:szCs w:val="24"/>
          <w:highlight w:val="white"/>
        </w:rPr>
      </w:pPr>
      <w:r>
        <w:rPr>
          <w:sz w:val="24"/>
          <w:szCs w:val="24"/>
          <w:highlight w:val="white"/>
        </w:rPr>
        <w:t xml:space="preserve">Quesada A, D. Delirium en el Adulto Mayor. Revista Médica de Costa Rica y Centroamérica. [Internet] </w:t>
      </w:r>
      <w:r w:rsidRPr="00CF4E61">
        <w:rPr>
          <w:sz w:val="24"/>
          <w:szCs w:val="24"/>
          <w:highlight w:val="yellow"/>
        </w:rPr>
        <w:t>2015</w:t>
      </w:r>
      <w:r>
        <w:rPr>
          <w:sz w:val="24"/>
          <w:szCs w:val="24"/>
          <w:highlight w:val="white"/>
        </w:rPr>
        <w:t xml:space="preserve">, (614) 3-7. [citado el 5 de septiembre de 2022]. </w:t>
      </w:r>
      <w:r>
        <w:rPr>
          <w:sz w:val="24"/>
          <w:szCs w:val="24"/>
          <w:highlight w:val="white"/>
        </w:rPr>
        <w:lastRenderedPageBreak/>
        <w:t xml:space="preserve">Disponible en:  </w:t>
      </w:r>
      <w:hyperlink r:id="rId20">
        <w:r>
          <w:rPr>
            <w:sz w:val="24"/>
            <w:szCs w:val="24"/>
            <w:highlight w:val="white"/>
            <w:u w:val="single"/>
          </w:rPr>
          <w:t>https://www.medigraphic.com/pdfs/revmedcoscen/rmc-2015/rmc151b.pdf</w:t>
        </w:r>
      </w:hyperlink>
    </w:p>
    <w:p w14:paraId="67899AFA" w14:textId="77777777" w:rsidR="00B25AD0" w:rsidRDefault="008C3CF6">
      <w:pPr>
        <w:numPr>
          <w:ilvl w:val="0"/>
          <w:numId w:val="1"/>
        </w:numPr>
        <w:spacing w:line="480" w:lineRule="auto"/>
        <w:jc w:val="both"/>
        <w:rPr>
          <w:sz w:val="24"/>
          <w:szCs w:val="24"/>
          <w:highlight w:val="white"/>
        </w:rPr>
      </w:pPr>
      <w:r>
        <w:rPr>
          <w:sz w:val="24"/>
          <w:szCs w:val="24"/>
          <w:highlight w:val="white"/>
        </w:rPr>
        <w:t xml:space="preserve">Sociedad Española de Geriatría y Gerontología. El Delirium es Prevenible en un 30-40% de los casos. [Internet]. 2022. [citado el 5 de septiembre de 2022] Disponible en: </w:t>
      </w:r>
      <w:hyperlink r:id="rId21">
        <w:r>
          <w:rPr>
            <w:sz w:val="24"/>
            <w:szCs w:val="24"/>
            <w:highlight w:val="white"/>
            <w:u w:val="single"/>
          </w:rPr>
          <w:t>https://www.segg.es/actualidad-segg/2022/03/14/dia-mundial-del-delirium-2022</w:t>
        </w:r>
      </w:hyperlink>
    </w:p>
    <w:p w14:paraId="250B4429" w14:textId="77777777" w:rsidR="00B25AD0" w:rsidRDefault="008C3CF6">
      <w:pPr>
        <w:numPr>
          <w:ilvl w:val="0"/>
          <w:numId w:val="1"/>
        </w:numPr>
        <w:spacing w:line="480" w:lineRule="auto"/>
        <w:jc w:val="both"/>
        <w:rPr>
          <w:sz w:val="24"/>
          <w:szCs w:val="24"/>
          <w:highlight w:val="white"/>
        </w:rPr>
      </w:pPr>
      <w:r>
        <w:rPr>
          <w:sz w:val="24"/>
          <w:szCs w:val="24"/>
          <w:highlight w:val="white"/>
        </w:rPr>
        <w:t xml:space="preserve">Palencia H, E. Diagnóstico del delirio en el enfermo crítico. Med. Intensiva. [Internet]. </w:t>
      </w:r>
      <w:r w:rsidRPr="00CF4E61">
        <w:rPr>
          <w:sz w:val="24"/>
          <w:szCs w:val="24"/>
          <w:highlight w:val="yellow"/>
        </w:rPr>
        <w:t>2010</w:t>
      </w:r>
      <w:r>
        <w:rPr>
          <w:sz w:val="24"/>
          <w:szCs w:val="24"/>
          <w:highlight w:val="white"/>
        </w:rPr>
        <w:t xml:space="preserve">. vol.34 no.1. [citado el 5 de septiembre del 2022]. Disponible en: </w:t>
      </w:r>
      <w:hyperlink r:id="rId22">
        <w:r>
          <w:rPr>
            <w:sz w:val="24"/>
            <w:szCs w:val="24"/>
            <w:highlight w:val="white"/>
            <w:u w:val="single"/>
          </w:rPr>
          <w:t>https://scielo.isciii.es/scielo.php?script=sci_arttext&amp;pid=S0210-56912010000100001</w:t>
        </w:r>
      </w:hyperlink>
      <w:r>
        <w:rPr>
          <w:sz w:val="24"/>
          <w:szCs w:val="24"/>
          <w:highlight w:val="white"/>
        </w:rPr>
        <w:t xml:space="preserve"> </w:t>
      </w:r>
    </w:p>
    <w:p w14:paraId="3C429C7B" w14:textId="77777777" w:rsidR="00B25AD0" w:rsidRDefault="008C3CF6">
      <w:pPr>
        <w:numPr>
          <w:ilvl w:val="0"/>
          <w:numId w:val="1"/>
        </w:numPr>
        <w:spacing w:line="480" w:lineRule="auto"/>
        <w:jc w:val="both"/>
        <w:rPr>
          <w:sz w:val="24"/>
          <w:szCs w:val="24"/>
          <w:highlight w:val="white"/>
        </w:rPr>
      </w:pPr>
      <w:r>
        <w:rPr>
          <w:sz w:val="24"/>
          <w:szCs w:val="24"/>
          <w:highlight w:val="white"/>
        </w:rPr>
        <w:t xml:space="preserve">Molina, P. Delirium. Biblioteca digital dinámica para estudiantes y Profesionales de la Salud. [Internet]. 2017. [citado el 5 de septiembre del 2022]. Disponible en: </w:t>
      </w:r>
      <w:hyperlink r:id="rId23" w:anchor=":~:text=En%20la%20comunidad%2C%20la%20prevalencia,es%20un%206%2D56%25">
        <w:r>
          <w:rPr>
            <w:sz w:val="24"/>
            <w:szCs w:val="24"/>
            <w:highlight w:val="white"/>
            <w:u w:val="single"/>
          </w:rPr>
          <w:t>https://sintesis.med.uchile.cl/index.php/profesionales/informacion-para-profesionales/medicina/condiciones-clinicas2/psiquiatria/1029-5-01-1-014#:~:text=En%20la%20comunidad%2C%20la%20prevalencia,es%20un%206%2D56%25</w:t>
        </w:r>
      </w:hyperlink>
    </w:p>
    <w:p w14:paraId="6279EE60" w14:textId="77777777" w:rsidR="00B25AD0" w:rsidRDefault="008C3CF6">
      <w:pPr>
        <w:numPr>
          <w:ilvl w:val="0"/>
          <w:numId w:val="1"/>
        </w:numPr>
        <w:spacing w:line="480" w:lineRule="auto"/>
        <w:jc w:val="both"/>
        <w:rPr>
          <w:sz w:val="24"/>
          <w:szCs w:val="24"/>
          <w:highlight w:val="white"/>
        </w:rPr>
      </w:pPr>
      <w:commentRangeStart w:id="6"/>
      <w:r>
        <w:rPr>
          <w:sz w:val="24"/>
          <w:szCs w:val="24"/>
          <w:highlight w:val="white"/>
        </w:rPr>
        <w:t xml:space="preserve">Investigadores desarrollan software para prevenir el delirium en adultos mayores. Red Hospital Clínico Universidad de Chile. [Internet]. 2022. [citado el 5 de septiembre del 2022]. Disponible en: </w:t>
      </w:r>
      <w:hyperlink r:id="rId24">
        <w:r>
          <w:rPr>
            <w:sz w:val="24"/>
            <w:szCs w:val="24"/>
            <w:highlight w:val="white"/>
            <w:u w:val="single"/>
          </w:rPr>
          <w:t>https://www.redclinica.cl/institucional/noticias-c/newsid/1443.aspx</w:t>
        </w:r>
      </w:hyperlink>
      <w:commentRangeEnd w:id="6"/>
      <w:r w:rsidR="0018650F">
        <w:rPr>
          <w:rStyle w:val="Refdecomentario"/>
        </w:rPr>
        <w:commentReference w:id="6"/>
      </w:r>
    </w:p>
    <w:p w14:paraId="7ABAD4F4" w14:textId="77777777" w:rsidR="00B25AD0" w:rsidRDefault="008C3CF6">
      <w:pPr>
        <w:numPr>
          <w:ilvl w:val="0"/>
          <w:numId w:val="1"/>
        </w:numPr>
        <w:spacing w:line="480" w:lineRule="auto"/>
        <w:jc w:val="both"/>
        <w:rPr>
          <w:sz w:val="24"/>
          <w:szCs w:val="24"/>
          <w:highlight w:val="white"/>
        </w:rPr>
      </w:pPr>
      <w:r>
        <w:rPr>
          <w:sz w:val="24"/>
          <w:szCs w:val="24"/>
          <w:highlight w:val="white"/>
        </w:rPr>
        <w:t xml:space="preserve">Tobar, E. Romero, c. et al. Método para la evaluación de la confusión en la unidad de cuidados intensivos para el diagnóstico de delírium: adaptación cultural y validación de la versión en idioma español. Med Intensiva. 2010; 34 (1):4-13. </w:t>
      </w:r>
      <w:r>
        <w:rPr>
          <w:sz w:val="24"/>
          <w:szCs w:val="24"/>
          <w:highlight w:val="white"/>
        </w:rPr>
        <w:lastRenderedPageBreak/>
        <w:t xml:space="preserve">[Internet]. </w:t>
      </w:r>
      <w:r w:rsidRPr="00CF4E61">
        <w:rPr>
          <w:sz w:val="24"/>
          <w:szCs w:val="24"/>
          <w:highlight w:val="yellow"/>
        </w:rPr>
        <w:t>2009</w:t>
      </w:r>
      <w:r>
        <w:rPr>
          <w:sz w:val="24"/>
          <w:szCs w:val="24"/>
          <w:highlight w:val="white"/>
        </w:rPr>
        <w:t xml:space="preserve">. [citado el 5 de septiembre del 2022]. Disponible en: </w:t>
      </w:r>
      <w:hyperlink r:id="rId25">
        <w:r>
          <w:rPr>
            <w:sz w:val="24"/>
            <w:szCs w:val="24"/>
            <w:highlight w:val="white"/>
            <w:u w:val="single"/>
          </w:rPr>
          <w:t>https://scielo.isciii.es/pdf/medinte/v34n1/original1.pdf</w:t>
        </w:r>
      </w:hyperlink>
    </w:p>
    <w:p w14:paraId="6C888D0C" w14:textId="77777777" w:rsidR="00B25AD0" w:rsidRDefault="008C3CF6">
      <w:pPr>
        <w:numPr>
          <w:ilvl w:val="0"/>
          <w:numId w:val="1"/>
        </w:numPr>
        <w:spacing w:line="480" w:lineRule="auto"/>
        <w:jc w:val="both"/>
        <w:rPr>
          <w:sz w:val="24"/>
          <w:szCs w:val="24"/>
          <w:highlight w:val="white"/>
        </w:rPr>
      </w:pPr>
      <w:commentRangeStart w:id="7"/>
      <w:r>
        <w:rPr>
          <w:sz w:val="24"/>
          <w:szCs w:val="24"/>
          <w:highlight w:val="white"/>
        </w:rPr>
        <w:t xml:space="preserve">Glosario Gerontológico. SENAMA. [Internet]. [citado el 5 de septiembre del 2022]. Disponible en: </w:t>
      </w:r>
      <w:hyperlink r:id="rId26">
        <w:r>
          <w:rPr>
            <w:sz w:val="24"/>
            <w:szCs w:val="24"/>
            <w:highlight w:val="white"/>
            <w:u w:val="single"/>
          </w:rPr>
          <w:t>http://www.senama.gob.cl/storage/docs/GLOSARIO_GERONTOLOGICO.pdf</w:t>
        </w:r>
      </w:hyperlink>
      <w:commentRangeEnd w:id="7"/>
      <w:r w:rsidR="0018650F">
        <w:rPr>
          <w:rStyle w:val="Refdecomentario"/>
        </w:rPr>
        <w:commentReference w:id="7"/>
      </w:r>
    </w:p>
    <w:p w14:paraId="4D9801AA" w14:textId="77777777" w:rsidR="00B25AD0" w:rsidRDefault="008C3CF6">
      <w:pPr>
        <w:numPr>
          <w:ilvl w:val="0"/>
          <w:numId w:val="1"/>
        </w:numPr>
        <w:spacing w:line="480" w:lineRule="auto"/>
        <w:jc w:val="both"/>
        <w:rPr>
          <w:sz w:val="24"/>
          <w:szCs w:val="24"/>
          <w:highlight w:val="white"/>
        </w:rPr>
      </w:pPr>
      <w:r>
        <w:rPr>
          <w:sz w:val="24"/>
          <w:szCs w:val="24"/>
          <w:highlight w:val="white"/>
        </w:rPr>
        <w:t xml:space="preserve">Raile, A. Martha. Tomey, M. Ann. Modelos y Teorías en Enfermería. [Internet] (2011). Barcelona, España: Elsevier. [citado el 5 de septiembre del 2022]. Disponible en: </w:t>
      </w:r>
      <w:hyperlink r:id="rId27">
        <w:r>
          <w:rPr>
            <w:sz w:val="24"/>
            <w:szCs w:val="24"/>
            <w:highlight w:val="white"/>
            <w:u w:val="single"/>
          </w:rPr>
          <w:t>http://modelosenfermeros2013.blogspot.com/2013/06/modelo-de-sistemas-betty-neuman.html</w:t>
        </w:r>
      </w:hyperlink>
    </w:p>
    <w:p w14:paraId="5B84BDC8" w14:textId="77777777" w:rsidR="00B25AD0" w:rsidRDefault="008C3CF6">
      <w:pPr>
        <w:numPr>
          <w:ilvl w:val="0"/>
          <w:numId w:val="1"/>
        </w:numPr>
        <w:spacing w:line="480" w:lineRule="auto"/>
        <w:jc w:val="both"/>
        <w:rPr>
          <w:sz w:val="24"/>
          <w:szCs w:val="24"/>
          <w:highlight w:val="white"/>
        </w:rPr>
      </w:pPr>
      <w:commentRangeStart w:id="8"/>
      <w:r>
        <w:rPr>
          <w:sz w:val="24"/>
          <w:szCs w:val="24"/>
          <w:highlight w:val="white"/>
        </w:rPr>
        <w:t xml:space="preserve">Delirio, Demencia y Depresión. Guías de Buenas Prácticas.  [Internet]. </w:t>
      </w:r>
      <w:r w:rsidRPr="00CF4E61">
        <w:rPr>
          <w:sz w:val="24"/>
          <w:szCs w:val="24"/>
          <w:highlight w:val="yellow"/>
        </w:rPr>
        <w:t>2016</w:t>
      </w:r>
      <w:r>
        <w:rPr>
          <w:sz w:val="24"/>
          <w:szCs w:val="24"/>
          <w:highlight w:val="white"/>
        </w:rPr>
        <w:t xml:space="preserve">. [citado el 5 de septiembre del 2022]. Disponible en:  </w:t>
      </w:r>
      <w:hyperlink r:id="rId28">
        <w:r>
          <w:rPr>
            <w:sz w:val="24"/>
            <w:szCs w:val="24"/>
            <w:u w:val="single"/>
          </w:rPr>
          <w:t>https://rnao.ca/sites/rnao-ca/files/bpg/translations/DDD_BPG.pdf</w:t>
        </w:r>
      </w:hyperlink>
      <w:r>
        <w:rPr>
          <w:sz w:val="24"/>
          <w:szCs w:val="24"/>
        </w:rPr>
        <w:t xml:space="preserve"> </w:t>
      </w:r>
      <w:commentRangeEnd w:id="8"/>
      <w:r w:rsidR="0018650F">
        <w:rPr>
          <w:rStyle w:val="Refdecomentario"/>
        </w:rPr>
        <w:commentReference w:id="8"/>
      </w:r>
    </w:p>
    <w:p w14:paraId="0E71987F" w14:textId="77777777" w:rsidR="00B25AD0" w:rsidRDefault="008C3CF6">
      <w:pPr>
        <w:numPr>
          <w:ilvl w:val="0"/>
          <w:numId w:val="1"/>
        </w:numPr>
        <w:spacing w:line="480" w:lineRule="auto"/>
        <w:jc w:val="both"/>
        <w:rPr>
          <w:sz w:val="24"/>
          <w:szCs w:val="24"/>
        </w:rPr>
      </w:pPr>
      <w:commentRangeStart w:id="9"/>
      <w:r>
        <w:rPr>
          <w:sz w:val="24"/>
          <w:szCs w:val="24"/>
        </w:rPr>
        <w:t>Angustia relacionada con el delirio en la UCI: una metásíntesis cualitativa de las perspectivas y experiencias del paciente y la familia. [citado el 5 de septiembre de 2022] Disponible en:</w:t>
      </w:r>
      <w:hyperlink r:id="rId29">
        <w:r>
          <w:rPr>
            <w:sz w:val="24"/>
            <w:szCs w:val="24"/>
          </w:rPr>
          <w:t xml:space="preserve"> </w:t>
        </w:r>
      </w:hyperlink>
      <w:hyperlink r:id="rId30">
        <w:r>
          <w:rPr>
            <w:sz w:val="24"/>
            <w:szCs w:val="24"/>
            <w:u w:val="single"/>
          </w:rPr>
          <w:t>https://www-sciencedirect-com.bibliotecadigital.uv.cl/science/article/pii/S0020748921001772</w:t>
        </w:r>
      </w:hyperlink>
      <w:commentRangeEnd w:id="9"/>
      <w:r w:rsidR="0018650F">
        <w:rPr>
          <w:rStyle w:val="Refdecomentario"/>
        </w:rPr>
        <w:commentReference w:id="9"/>
      </w:r>
    </w:p>
    <w:p w14:paraId="36F3F6C3" w14:textId="77777777" w:rsidR="00B25AD0" w:rsidRDefault="008C3CF6">
      <w:pPr>
        <w:pStyle w:val="Ttulo1"/>
        <w:keepNext w:val="0"/>
        <w:keepLines w:val="0"/>
        <w:numPr>
          <w:ilvl w:val="0"/>
          <w:numId w:val="1"/>
        </w:numPr>
        <w:spacing w:before="0" w:after="0" w:line="480" w:lineRule="auto"/>
        <w:jc w:val="both"/>
        <w:rPr>
          <w:sz w:val="24"/>
          <w:szCs w:val="24"/>
        </w:rPr>
      </w:pPr>
      <w:bookmarkStart w:id="10" w:name="_nxhshgozyvdm" w:colFirst="0" w:colLast="0"/>
      <w:bookmarkEnd w:id="10"/>
      <w:r>
        <w:rPr>
          <w:sz w:val="24"/>
          <w:szCs w:val="24"/>
        </w:rPr>
        <w:t>Factores asociados a un delirio persistente en la unidad de cuidados intensivos: un estudio de cohorte retrospectivo. [citado el 5 de septiembre de 2022]. Disponible en:</w:t>
      </w:r>
      <w:hyperlink r:id="rId31">
        <w:r>
          <w:rPr>
            <w:sz w:val="24"/>
            <w:szCs w:val="24"/>
          </w:rPr>
          <w:t xml:space="preserve"> </w:t>
        </w:r>
      </w:hyperlink>
      <w:hyperlink r:id="rId32">
        <w:r>
          <w:rPr>
            <w:sz w:val="24"/>
            <w:szCs w:val="24"/>
            <w:u w:val="single"/>
          </w:rPr>
          <w:t>https://www-sciencedirect-com.bibliotecadigital.uv.cl/science/article/pii/S0883944121001866</w:t>
        </w:r>
      </w:hyperlink>
    </w:p>
    <w:p w14:paraId="484E5A46" w14:textId="77777777" w:rsidR="00B25AD0" w:rsidRDefault="008C3CF6">
      <w:pPr>
        <w:numPr>
          <w:ilvl w:val="0"/>
          <w:numId w:val="1"/>
        </w:numPr>
        <w:spacing w:line="480" w:lineRule="auto"/>
        <w:jc w:val="both"/>
        <w:rPr>
          <w:sz w:val="24"/>
          <w:szCs w:val="24"/>
        </w:rPr>
      </w:pPr>
      <w:r>
        <w:rPr>
          <w:sz w:val="24"/>
          <w:szCs w:val="24"/>
        </w:rPr>
        <w:t xml:space="preserve">CC Torres-Contreras, AN Páez-Esteban, A. Hinestrosa-Díaz del Castillo, MK Rincón-Romero, A. Amaris-Vega, JP Martínez-Patiño. Factores asociados con el delirium en pacientes críticos de una institución de salud de Bucaramanga, Colombia. Enfermería Intensiva [Internet], Vol. 30, número 1, enero-marzo 2019, </w:t>
      </w:r>
      <w:r>
        <w:rPr>
          <w:sz w:val="24"/>
          <w:szCs w:val="24"/>
        </w:rPr>
        <w:lastRenderedPageBreak/>
        <w:t>pág. 13-30 [citado el 5 de septiembre de 2022]. Diponible en:</w:t>
      </w:r>
      <w:hyperlink r:id="rId33" w:anchor=":~:text=Los%20factores%20precipitantes%20son%20aquellos,%2C%20restricciones%20f%C3%ADsicas%2C%20dispositivos%20invasivos%2C">
        <w:r>
          <w:rPr>
            <w:sz w:val="24"/>
            <w:szCs w:val="24"/>
          </w:rPr>
          <w:t xml:space="preserve">  </w:t>
        </w:r>
      </w:hyperlink>
      <w:hyperlink r:id="rId34" w:anchor=":~:text=Los%20factores%20precipitantes%20son%20aquellos,%2C%20restricciones%20f%C3%ADsicas%2C%20dispositivos%20invasivos%2C">
        <w:r>
          <w:rPr>
            <w:sz w:val="24"/>
            <w:szCs w:val="24"/>
            <w:u w:val="single"/>
          </w:rPr>
          <w:t>https://www.elsevier.es.bibliotecadigital.uv.cl/es-revista-enfermeria-intensiva-142-articulo-factores-asociados-con-el-delirium-S1130239918300579#:~:text=Los%20factores%20precipitantes%20son%20aquellos,%2C%20restricciones%20f%C3%ADsicas%2C%20dispositivos%20invasivos%2C</w:t>
        </w:r>
      </w:hyperlink>
    </w:p>
    <w:p w14:paraId="00EA1B8E" w14:textId="77777777" w:rsidR="00B25AD0" w:rsidRDefault="008C3CF6">
      <w:pPr>
        <w:numPr>
          <w:ilvl w:val="0"/>
          <w:numId w:val="1"/>
        </w:numPr>
        <w:spacing w:line="480" w:lineRule="auto"/>
        <w:jc w:val="both"/>
        <w:rPr>
          <w:sz w:val="24"/>
          <w:szCs w:val="24"/>
        </w:rPr>
      </w:pPr>
      <w:r>
        <w:rPr>
          <w:sz w:val="24"/>
          <w:szCs w:val="24"/>
        </w:rPr>
        <w:t>Marquetand J, Bode L, Fuchs S, Ernst J, von Känel R, Boettger S. Factores que predisponen y precipitan el delirio en los ancianos (&gt; 80 años): un estudio de cohorte prospectivo de 3076 pacientes. Gerontología [Internet], vol. 67,5 (2021): 599-607. [citado el 5 de septiembre de 2022]. Disponible en:</w:t>
      </w:r>
      <w:hyperlink r:id="rId35">
        <w:r>
          <w:rPr>
            <w:sz w:val="24"/>
            <w:szCs w:val="24"/>
          </w:rPr>
          <w:t xml:space="preserve"> </w:t>
        </w:r>
      </w:hyperlink>
      <w:hyperlink r:id="rId36">
        <w:r>
          <w:rPr>
            <w:sz w:val="24"/>
            <w:szCs w:val="24"/>
            <w:u w:val="single"/>
          </w:rPr>
          <w:t>https://pesquisa.bvsalud.org/portal/resource/es/mdl-33789299?lang=es</w:t>
        </w:r>
      </w:hyperlink>
    </w:p>
    <w:p w14:paraId="302FCE2F" w14:textId="77777777" w:rsidR="00B25AD0" w:rsidRDefault="008C3CF6">
      <w:pPr>
        <w:numPr>
          <w:ilvl w:val="0"/>
          <w:numId w:val="1"/>
        </w:numPr>
        <w:spacing w:line="480" w:lineRule="auto"/>
        <w:jc w:val="both"/>
        <w:rPr>
          <w:sz w:val="24"/>
          <w:szCs w:val="24"/>
        </w:rPr>
      </w:pPr>
      <w:r>
        <w:rPr>
          <w:sz w:val="24"/>
          <w:szCs w:val="24"/>
        </w:rPr>
        <w:t>Fernández-Moreno C, Fernández-Sánchez S, Martínez-Navarro R. Enfermería en el Síndrome Confusional Agudo en pacientes mayores de 65 años hospitalizados. Rev. Paraninfo Digital [Internet], 2017; 26 [citado el 5 de septiembre de 2022]. Disponible en:</w:t>
      </w:r>
      <w:hyperlink r:id="rId37">
        <w:r>
          <w:rPr>
            <w:sz w:val="24"/>
            <w:szCs w:val="24"/>
          </w:rPr>
          <w:t xml:space="preserve"> </w:t>
        </w:r>
      </w:hyperlink>
      <w:commentRangeStart w:id="11"/>
      <w:r>
        <w:fldChar w:fldCharType="begin"/>
      </w:r>
      <w:r>
        <w:instrText xml:space="preserve"> HYPERLINK "http://cuiden.fundacionindex.com/%20cuiden/extendida.php?cdid=702341_1" \h </w:instrText>
      </w:r>
      <w:r>
        <w:fldChar w:fldCharType="separate"/>
      </w:r>
      <w:r>
        <w:rPr>
          <w:sz w:val="24"/>
          <w:szCs w:val="24"/>
          <w:u w:val="single"/>
        </w:rPr>
        <w:t>http://cuiden.fundacionindex.com/ cuiden/extendida.php?cdid=702341_1</w:t>
      </w:r>
      <w:r>
        <w:rPr>
          <w:sz w:val="24"/>
          <w:szCs w:val="24"/>
          <w:u w:val="single"/>
        </w:rPr>
        <w:fldChar w:fldCharType="end"/>
      </w:r>
      <w:commentRangeEnd w:id="11"/>
      <w:r w:rsidR="00E716FA">
        <w:rPr>
          <w:rStyle w:val="Refdecomentario"/>
        </w:rPr>
        <w:commentReference w:id="11"/>
      </w:r>
    </w:p>
    <w:p w14:paraId="3505B260" w14:textId="77777777" w:rsidR="00B25AD0" w:rsidRDefault="008C3CF6">
      <w:pPr>
        <w:numPr>
          <w:ilvl w:val="0"/>
          <w:numId w:val="1"/>
        </w:numPr>
        <w:spacing w:line="480" w:lineRule="auto"/>
        <w:jc w:val="both"/>
        <w:rPr>
          <w:sz w:val="24"/>
          <w:szCs w:val="24"/>
        </w:rPr>
      </w:pPr>
      <w:r>
        <w:rPr>
          <w:sz w:val="24"/>
          <w:szCs w:val="24"/>
        </w:rPr>
        <w:t xml:space="preserve">Moreno García I, González Arjona G, Alés Portillo A. Abordaje del delirio en el paciente de Unidades de Cuidados Intensivos (UCI). Rev. Paraninfo Digital [citado el 5 de Septiembre de 2022]. Disponible en:  </w:t>
      </w:r>
      <w:hyperlink r:id="rId38">
        <w:r>
          <w:rPr>
            <w:sz w:val="24"/>
            <w:szCs w:val="24"/>
            <w:u w:val="single"/>
          </w:rPr>
          <w:t>http://www.index-f.com/para/n27/pdf/068.pdf</w:t>
        </w:r>
      </w:hyperlink>
    </w:p>
    <w:p w14:paraId="3698CEED" w14:textId="77777777" w:rsidR="00B25AD0" w:rsidRDefault="008C3CF6">
      <w:pPr>
        <w:numPr>
          <w:ilvl w:val="0"/>
          <w:numId w:val="1"/>
        </w:numPr>
        <w:spacing w:line="480" w:lineRule="auto"/>
        <w:jc w:val="both"/>
        <w:rPr>
          <w:sz w:val="24"/>
          <w:szCs w:val="24"/>
        </w:rPr>
      </w:pPr>
      <w:r>
        <w:rPr>
          <w:sz w:val="24"/>
          <w:szCs w:val="24"/>
        </w:rPr>
        <w:t xml:space="preserve">Flores Oñate G, Ceballos Vázquez P, Mejías Parada R. Cuidados para el manejo de delirio en Unidades de Paciente Crítico: una revisión integrativa. Cultura de los Cuidados [Internet], 2021, 25(59): 144-156. [citado el 5 de septiembre de 2022]. </w:t>
      </w:r>
      <w:r>
        <w:rPr>
          <w:sz w:val="24"/>
          <w:szCs w:val="24"/>
        </w:rPr>
        <w:lastRenderedPageBreak/>
        <w:t xml:space="preserve">Disponible en:  </w:t>
      </w:r>
      <w:hyperlink r:id="rId39">
        <w:r>
          <w:rPr>
            <w:sz w:val="24"/>
            <w:szCs w:val="24"/>
            <w:u w:val="single"/>
          </w:rPr>
          <w:t>http://cuiden.fundacionindex.com/</w:t>
        </w:r>
      </w:hyperlink>
      <w:r>
        <w:rPr>
          <w:sz w:val="24"/>
          <w:szCs w:val="24"/>
          <w:u w:val="single"/>
        </w:rPr>
        <w:t>cuiden/extendida.php?cdid=765081_1</w:t>
      </w:r>
    </w:p>
    <w:p w14:paraId="1F472537" w14:textId="77777777" w:rsidR="00B25AD0" w:rsidRDefault="008C3CF6">
      <w:pPr>
        <w:numPr>
          <w:ilvl w:val="0"/>
          <w:numId w:val="1"/>
        </w:numPr>
        <w:spacing w:line="480" w:lineRule="auto"/>
        <w:jc w:val="both"/>
        <w:rPr>
          <w:sz w:val="24"/>
          <w:szCs w:val="24"/>
        </w:rPr>
      </w:pPr>
      <w:r>
        <w:rPr>
          <w:sz w:val="24"/>
          <w:szCs w:val="24"/>
        </w:rPr>
        <w:t>Gómez Tovar L, Díaz Suárez L, Cortéz Muñoz F. Cuidados de enfermería basados en evidencia y modelo de betty neuman, para controlar estresores del entorno que pueden ocasionar delirium en unidad de cuidados intensivos. Enferm Global [Internet], 2017, 15(1):49-77. [citado el 5 de Septiembre de 2022]. Disponible en:</w:t>
      </w:r>
      <w:hyperlink r:id="rId40">
        <w:r>
          <w:rPr>
            <w:sz w:val="24"/>
            <w:szCs w:val="24"/>
          </w:rPr>
          <w:t xml:space="preserve">  </w:t>
        </w:r>
      </w:hyperlink>
      <w:hyperlink r:id="rId41">
        <w:r>
          <w:rPr>
            <w:sz w:val="24"/>
            <w:szCs w:val="24"/>
            <w:u w:val="single"/>
          </w:rPr>
          <w:t>http://cuiden.fundacionindex.com/</w:t>
        </w:r>
      </w:hyperlink>
      <w:r>
        <w:rPr>
          <w:sz w:val="24"/>
          <w:szCs w:val="24"/>
          <w:u w:val="single"/>
        </w:rPr>
        <w:t>cuiden/extendida.php?cdid=714659_1</w:t>
      </w:r>
    </w:p>
    <w:p w14:paraId="076B7950" w14:textId="77777777" w:rsidR="00B25AD0" w:rsidRDefault="008C3CF6">
      <w:pPr>
        <w:numPr>
          <w:ilvl w:val="0"/>
          <w:numId w:val="1"/>
        </w:numPr>
        <w:spacing w:line="480" w:lineRule="auto"/>
        <w:jc w:val="both"/>
        <w:rPr>
          <w:sz w:val="24"/>
          <w:szCs w:val="24"/>
        </w:rPr>
      </w:pPr>
      <w:r>
        <w:rPr>
          <w:sz w:val="24"/>
          <w:szCs w:val="24"/>
        </w:rPr>
        <w:t xml:space="preserve">Palacio Jiménez, M. El delirio en la UCI, una revisión narrativa de la evidencia existente. Conocimiento Enfermero [Internet]. 2021. </w:t>
      </w:r>
      <w:r>
        <w:rPr>
          <w:i/>
          <w:sz w:val="24"/>
          <w:szCs w:val="24"/>
        </w:rPr>
        <w:t>4</w:t>
      </w:r>
      <w:r>
        <w:rPr>
          <w:sz w:val="24"/>
          <w:szCs w:val="24"/>
        </w:rPr>
        <w:t>(14), 5-21. [citado el 5 de Septiembre de 2022]. Disponible en:</w:t>
      </w:r>
      <w:hyperlink r:id="rId42" w:anchor="AN=edsdia.ART0001525963&amp;db=edsdia">
        <w:r>
          <w:rPr>
            <w:sz w:val="24"/>
            <w:szCs w:val="24"/>
          </w:rPr>
          <w:t xml:space="preserve"> </w:t>
        </w:r>
      </w:hyperlink>
      <w:hyperlink r:id="rId43" w:anchor="AN=edsdia.ART0001525963&amp;db=edsdia">
        <w:r>
          <w:rPr>
            <w:sz w:val="24"/>
            <w:szCs w:val="24"/>
            <w:u w:val="single"/>
          </w:rPr>
          <w:t>https://eds-p-ebscohost-com.bibliotecadigital.uv.cl/eds/detail/detail?vid=11&amp;sid=be92537c-f450-4fb7-860c-ab83bc9b56e7%40redis&amp;bdata=JkF1dGhUeXBlPWlwLHVpZCxjb29raWUmbGFuZz1lcyZzaXRlPWVkcy1saXZl#AN=edsdia.ART0001525963&amp;db=edsdia</w:t>
        </w:r>
      </w:hyperlink>
    </w:p>
    <w:p w14:paraId="4119ACBB" w14:textId="77777777" w:rsidR="00B25AD0" w:rsidRDefault="008C3CF6">
      <w:pPr>
        <w:numPr>
          <w:ilvl w:val="0"/>
          <w:numId w:val="1"/>
        </w:numPr>
        <w:spacing w:line="480" w:lineRule="auto"/>
        <w:jc w:val="both"/>
        <w:rPr>
          <w:sz w:val="24"/>
          <w:szCs w:val="24"/>
        </w:rPr>
      </w:pPr>
      <w:r>
        <w:rPr>
          <w:sz w:val="24"/>
          <w:szCs w:val="24"/>
        </w:rPr>
        <w:t>Joven, Z. M., Guáqueta Parada, S. R. Percepción del paciente crítico sobre los comportamientos de cuidado humanizado de enfermería. Avances en Enfermería. [Internet]. 2019. 37(1), 65-74. [citado el 5 de septiembre de 2022]. Disponible en:</w:t>
      </w:r>
      <w:hyperlink r:id="rId44" w:anchor="AN=135911417&amp;db=fap">
        <w:r>
          <w:rPr>
            <w:sz w:val="24"/>
            <w:szCs w:val="24"/>
          </w:rPr>
          <w:t xml:space="preserve"> </w:t>
        </w:r>
      </w:hyperlink>
      <w:hyperlink r:id="rId45" w:anchor="AN=135911417&amp;db=fap">
        <w:r>
          <w:rPr>
            <w:sz w:val="24"/>
            <w:szCs w:val="24"/>
            <w:u w:val="single"/>
          </w:rPr>
          <w:t>https://eds-s-ebscohost-com.bibliotecadigital.uv.cl/eds/detail/detail?vid=0&amp;sid=d5d00a9a-f5df-4824-a9dd-a742b26bbffc%40redis&amp;bdata=JkF1dGhUeXBlPWlwLHVpZCxjb29raWUmbGFuZz1lcyZzaXRlPWVkcy1saXZl#AN=135911417&amp;db=fap</w:t>
        </w:r>
      </w:hyperlink>
    </w:p>
    <w:p w14:paraId="11046464" w14:textId="77777777" w:rsidR="00B25AD0" w:rsidRDefault="008C3CF6">
      <w:pPr>
        <w:numPr>
          <w:ilvl w:val="0"/>
          <w:numId w:val="1"/>
        </w:numPr>
        <w:spacing w:line="480" w:lineRule="auto"/>
        <w:jc w:val="both"/>
        <w:rPr>
          <w:sz w:val="24"/>
          <w:szCs w:val="24"/>
        </w:rPr>
      </w:pPr>
      <w:r>
        <w:rPr>
          <w:sz w:val="24"/>
          <w:szCs w:val="24"/>
        </w:rPr>
        <w:t xml:space="preserve">Silva MAP da, Camacho ACLF, Leite BS, Silva T da, Menezes HF de, Santos KLD dos, Matos TL de M. Identificación del delirio en personas mayores en unidades de terapia intensiva: revisión integrativa. RSD [Internet]. 2020 Mar.28 [citado el 5 </w:t>
      </w:r>
      <w:r>
        <w:rPr>
          <w:sz w:val="24"/>
          <w:szCs w:val="24"/>
        </w:rPr>
        <w:lastRenderedPageBreak/>
        <w:t>de septiembre de 2022]; 9(5):e51953090. Disponible en:</w:t>
      </w:r>
      <w:hyperlink r:id="rId46" w:anchor="AN=edsbas.981DE9D4&amp;db=edsbas">
        <w:r>
          <w:rPr>
            <w:sz w:val="24"/>
            <w:szCs w:val="24"/>
          </w:rPr>
          <w:t xml:space="preserve"> </w:t>
        </w:r>
      </w:hyperlink>
      <w:hyperlink r:id="rId47" w:anchor="AN=edsbas.981DE9D4&amp;db=edsbas">
        <w:r>
          <w:rPr>
            <w:sz w:val="24"/>
            <w:szCs w:val="24"/>
            <w:u w:val="single"/>
          </w:rPr>
          <w:t>https://eds-s-ebscohost-com.bibliotecadigital.uv.cl/eds/detail/detail?vid=16&amp;sid=8d507885-7d2d-4ce5-92e0-7eececd13427%40redis&amp;bdata=JkF1dGhUeXBlPWlwLHVpZCxjb29raWUmbGFuZz1lcyZzaXRlPWVkcy1saXZl#AN=edsbas.981DE9D4&amp;db=edsbas</w:t>
        </w:r>
      </w:hyperlink>
    </w:p>
    <w:p w14:paraId="708C1DBA" w14:textId="77777777" w:rsidR="00B25AD0" w:rsidRDefault="008C3CF6">
      <w:pPr>
        <w:numPr>
          <w:ilvl w:val="0"/>
          <w:numId w:val="1"/>
        </w:numPr>
        <w:spacing w:line="480" w:lineRule="auto"/>
        <w:jc w:val="both"/>
        <w:rPr>
          <w:sz w:val="24"/>
          <w:szCs w:val="24"/>
        </w:rPr>
      </w:pPr>
      <w:r>
        <w:rPr>
          <w:sz w:val="24"/>
          <w:szCs w:val="24"/>
        </w:rPr>
        <w:t>Barcellos, R. de A.; Pires, M. Q.; Cavalcanti, T. de C,: Schmitz, T. dos S.D.; Moretti, M. M. S.; Azzolini, K. de O.; Haas, J. S. Risk factors and good practices in delirium management : understanding the nursing team RSD [Internet] 2020 Jul.12 [citado el 5 de septiembre de 2022]; v.9, n. 8. e436985784. Disponible en:</w:t>
      </w:r>
      <w:hyperlink r:id="rId48">
        <w:r>
          <w:rPr>
            <w:sz w:val="24"/>
            <w:szCs w:val="24"/>
          </w:rPr>
          <w:t xml:space="preserve"> </w:t>
        </w:r>
      </w:hyperlink>
      <w:hyperlink r:id="rId49">
        <w:r>
          <w:rPr>
            <w:sz w:val="24"/>
            <w:szCs w:val="24"/>
            <w:u w:val="single"/>
          </w:rPr>
          <w:t>https://lume.ufrgs.br/bitstream/handle/10183/213671/001116425.pdf?sequence=1&amp;isAllowed=y</w:t>
        </w:r>
      </w:hyperlink>
    </w:p>
    <w:p w14:paraId="4A5D5AC3" w14:textId="77777777" w:rsidR="00B25AD0" w:rsidRDefault="008C3CF6">
      <w:pPr>
        <w:numPr>
          <w:ilvl w:val="0"/>
          <w:numId w:val="1"/>
        </w:numPr>
        <w:spacing w:line="480" w:lineRule="auto"/>
        <w:jc w:val="both"/>
        <w:rPr>
          <w:sz w:val="24"/>
          <w:szCs w:val="24"/>
        </w:rPr>
      </w:pPr>
      <w:r>
        <w:rPr>
          <w:sz w:val="24"/>
          <w:szCs w:val="24"/>
        </w:rPr>
        <w:t>Marquetand J, Bode L, Hildenbrand F, Ernst J, von Känel R, Boettger S. Los factores de riesgo son diferentes en los ancianos: un estudio de cohorte prospectivo comparativo de un año de 5831 pacientes. [Internet] 2021 May.11 [citado el 5 de septiembre de 2022]; Frontiers. Psiquiatría 12:655087. Disponible en:</w:t>
      </w:r>
      <w:hyperlink r:id="rId50">
        <w:r>
          <w:rPr>
            <w:sz w:val="24"/>
            <w:szCs w:val="24"/>
          </w:rPr>
          <w:t xml:space="preserve"> </w:t>
        </w:r>
      </w:hyperlink>
      <w:hyperlink r:id="rId51">
        <w:r>
          <w:rPr>
            <w:sz w:val="24"/>
            <w:szCs w:val="24"/>
            <w:u w:val="single"/>
          </w:rPr>
          <w:t>https://www.frontiersin.org/articles/10.3389/fpsyt.2021.655087/full</w:t>
        </w:r>
      </w:hyperlink>
    </w:p>
    <w:p w14:paraId="7A6FBDC8" w14:textId="77777777" w:rsidR="00B25AD0" w:rsidRDefault="008C3CF6">
      <w:pPr>
        <w:numPr>
          <w:ilvl w:val="0"/>
          <w:numId w:val="1"/>
        </w:numPr>
        <w:spacing w:line="480" w:lineRule="auto"/>
        <w:jc w:val="both"/>
        <w:rPr>
          <w:sz w:val="24"/>
          <w:szCs w:val="24"/>
        </w:rPr>
      </w:pPr>
      <w:r>
        <w:rPr>
          <w:sz w:val="24"/>
          <w:szCs w:val="24"/>
        </w:rPr>
        <w:t xml:space="preserve">Magny E, Le Petitcorps H, Pociumban M, Bouksani-Kacher Z, Pautas É, Belmin J, et al. Factores predisponentes y precipitantes del delirio en adultos mayores residentes en la comunidad de ingresados en el hospital con esta condición: una serie de casos prospectiva. PLoS Uno. [Internet]. 2018;13(2):e0193034. [citado el 5 de septiembre de 2022]. Disponible en: </w:t>
      </w:r>
      <w:hyperlink r:id="rId52">
        <w:r>
          <w:rPr>
            <w:sz w:val="24"/>
            <w:szCs w:val="24"/>
          </w:rPr>
          <w:t xml:space="preserve">  </w:t>
        </w:r>
      </w:hyperlink>
      <w:hyperlink r:id="rId53">
        <w:r>
          <w:rPr>
            <w:sz w:val="24"/>
            <w:szCs w:val="24"/>
            <w:u w:val="single"/>
          </w:rPr>
          <w:t>https://journals.plos.org/plosone/article/file?id=10.1371/journal.pone.0193034&amp;type=printable</w:t>
        </w:r>
      </w:hyperlink>
    </w:p>
    <w:p w14:paraId="2BD0A4C8" w14:textId="77777777" w:rsidR="00B25AD0" w:rsidRDefault="008C3CF6">
      <w:pPr>
        <w:numPr>
          <w:ilvl w:val="0"/>
          <w:numId w:val="1"/>
        </w:numPr>
        <w:spacing w:line="480" w:lineRule="auto"/>
        <w:jc w:val="both"/>
        <w:rPr>
          <w:sz w:val="24"/>
          <w:szCs w:val="24"/>
        </w:rPr>
      </w:pPr>
      <w:r>
        <w:rPr>
          <w:sz w:val="24"/>
          <w:szCs w:val="24"/>
        </w:rPr>
        <w:lastRenderedPageBreak/>
        <w:t>Bellelli G, Brathwaite JS, Mazzola P. Delirio: un marcador de vulnerabilidad en personas mayores. Front Aging Neurosci. [Internet]. 2021;13:626127.2021;13:626127. [Citado el 5 de septiembre de 2022]. Disponible en:</w:t>
      </w:r>
      <w:hyperlink r:id="rId54">
        <w:r>
          <w:rPr>
            <w:sz w:val="24"/>
            <w:szCs w:val="24"/>
          </w:rPr>
          <w:t xml:space="preserve"> </w:t>
        </w:r>
      </w:hyperlink>
      <w:hyperlink r:id="rId55">
        <w:r>
          <w:rPr>
            <w:sz w:val="24"/>
            <w:szCs w:val="24"/>
            <w:u w:val="single"/>
          </w:rPr>
          <w:t>https://www.frontiersin.org/articles/10.3389/fnagi.2021.626127/full?&amp;utm_source=Email_to_authors_&amp;utm_medium=Email&amp;utm_content=T1_11.5e1_author&amp;utm_campaign=Email_publication&amp;field=&amp;journalName=Frontiers_in_Aging_Neuroscience&amp;id=626127</w:t>
        </w:r>
      </w:hyperlink>
    </w:p>
    <w:p w14:paraId="7E4E61B2" w14:textId="77777777" w:rsidR="00B25AD0" w:rsidRDefault="008C3CF6">
      <w:pPr>
        <w:numPr>
          <w:ilvl w:val="0"/>
          <w:numId w:val="1"/>
        </w:numPr>
        <w:spacing w:line="480" w:lineRule="auto"/>
        <w:jc w:val="both"/>
        <w:rPr>
          <w:sz w:val="24"/>
          <w:szCs w:val="24"/>
        </w:rPr>
      </w:pPr>
      <w:r>
        <w:rPr>
          <w:sz w:val="24"/>
          <w:szCs w:val="24"/>
        </w:rPr>
        <w:t>Carvalho L.A.C, Correia M.D.L, Ferreira R.C, Botelho M.L, Ribeiro E, Duran E.C.M. Exactitud de los factores de riesgo de delirium en pacientes adultos de la unidad de cuidados intensivos de adultos. Rev. esc. enferm USP [Internet] 2022. [citado el 5 de septiembre de 2022]; 56: e20210222.  Disponible en:</w:t>
      </w:r>
      <w:hyperlink r:id="rId56">
        <w:r>
          <w:rPr>
            <w:sz w:val="24"/>
            <w:szCs w:val="24"/>
          </w:rPr>
          <w:t xml:space="preserve"> </w:t>
        </w:r>
      </w:hyperlink>
      <w:hyperlink r:id="rId57">
        <w:r>
          <w:rPr>
            <w:sz w:val="24"/>
            <w:szCs w:val="24"/>
            <w:u w:val="single"/>
          </w:rPr>
          <w:t>http://old.scielo.br/scielo.php?script=sci_abstract&amp;pid=S0080-62342022000100403&amp;lng=en&amp;nrm=iso&amp;tlng=es</w:t>
        </w:r>
      </w:hyperlink>
    </w:p>
    <w:p w14:paraId="2006F016" w14:textId="77777777" w:rsidR="00B25AD0" w:rsidRDefault="008C3CF6">
      <w:pPr>
        <w:numPr>
          <w:ilvl w:val="0"/>
          <w:numId w:val="1"/>
        </w:numPr>
        <w:spacing w:line="480" w:lineRule="auto"/>
        <w:jc w:val="both"/>
        <w:rPr>
          <w:sz w:val="24"/>
          <w:szCs w:val="24"/>
        </w:rPr>
      </w:pPr>
      <w:r>
        <w:rPr>
          <w:sz w:val="24"/>
          <w:szCs w:val="24"/>
        </w:rPr>
        <w:t>Silva MHO da, Camerini FG, Henrique DDM, Almeida LF de, Franco AS, Pereira SRM. Delirio en la terapia intensiva: factores predisponentes y prevención de eventos adversos. Rev Baiana Enfermagem‏ [Internet]. 2018;32.  [citado el 5 de septiembre de 2022] Disponible en:</w:t>
      </w:r>
      <w:hyperlink r:id="rId58">
        <w:r>
          <w:rPr>
            <w:sz w:val="24"/>
            <w:szCs w:val="24"/>
          </w:rPr>
          <w:t xml:space="preserve"> </w:t>
        </w:r>
      </w:hyperlink>
      <w:hyperlink r:id="rId59">
        <w:r>
          <w:rPr>
            <w:sz w:val="24"/>
            <w:szCs w:val="24"/>
            <w:u w:val="single"/>
          </w:rPr>
          <w:t>http://www.revenf.bvs.br/pdf/rbaen/v32/en_1984-0446-rbaen-32-e26031.pdf</w:t>
        </w:r>
      </w:hyperlink>
    </w:p>
    <w:p w14:paraId="453550BC" w14:textId="77777777" w:rsidR="00B25AD0" w:rsidRDefault="008C3CF6">
      <w:pPr>
        <w:numPr>
          <w:ilvl w:val="0"/>
          <w:numId w:val="1"/>
        </w:numPr>
        <w:spacing w:line="480" w:lineRule="auto"/>
        <w:jc w:val="both"/>
        <w:rPr>
          <w:sz w:val="24"/>
          <w:szCs w:val="24"/>
        </w:rPr>
      </w:pPr>
      <w:r>
        <w:rPr>
          <w:sz w:val="24"/>
          <w:szCs w:val="24"/>
        </w:rPr>
        <w:t>Palencia Herrejón,E. (</w:t>
      </w:r>
      <w:r w:rsidRPr="00CF4E61">
        <w:rPr>
          <w:sz w:val="24"/>
          <w:szCs w:val="24"/>
          <w:highlight w:val="yellow"/>
        </w:rPr>
        <w:t>2010</w:t>
      </w:r>
      <w:r>
        <w:rPr>
          <w:sz w:val="24"/>
          <w:szCs w:val="24"/>
        </w:rPr>
        <w:t xml:space="preserve">). Diagnóstico del delirio en el enfermo crítico. Medicina intensiva.  [Internet]. 34(1), 1-3. [citado el 5 de septiembre de 2022] Disponible en:  </w:t>
      </w:r>
      <w:hyperlink r:id="rId60">
        <w:r>
          <w:rPr>
            <w:sz w:val="24"/>
            <w:szCs w:val="24"/>
            <w:u w:val="single"/>
          </w:rPr>
          <w:t>https://scielo.isciii.es/scielo.php?script=sci_arttext&amp;pid=S0210-56912010000100001</w:t>
        </w:r>
      </w:hyperlink>
    </w:p>
    <w:p w14:paraId="296726D9" w14:textId="77777777" w:rsidR="00B25AD0" w:rsidRDefault="008C3CF6">
      <w:pPr>
        <w:numPr>
          <w:ilvl w:val="0"/>
          <w:numId w:val="1"/>
        </w:numPr>
        <w:spacing w:after="240" w:line="480" w:lineRule="auto"/>
        <w:jc w:val="both"/>
        <w:rPr>
          <w:sz w:val="24"/>
          <w:szCs w:val="24"/>
        </w:rPr>
      </w:pPr>
      <w:r>
        <w:rPr>
          <w:sz w:val="24"/>
          <w:szCs w:val="24"/>
        </w:rPr>
        <w:lastRenderedPageBreak/>
        <w:t xml:space="preserve">Sofía, M. Bento, P-M, Margarida, R. Marques, D. Delirium: intervención de enfermería en el adulto hospitalizado, una revisión bibliográfica.  [Internet]. [citado el 5 de septiembre de 2022] Disponible en:  </w:t>
      </w:r>
      <w:hyperlink r:id="rId61">
        <w:r>
          <w:rPr>
            <w:sz w:val="24"/>
            <w:szCs w:val="24"/>
            <w:u w:val="single"/>
          </w:rPr>
          <w:t>https://scielo.isciii.es/pdf/eg/v17n52/1695-6141-eg-17-52-640.pdf</w:t>
        </w:r>
      </w:hyperlink>
      <w:r>
        <w:rPr>
          <w:sz w:val="24"/>
          <w:szCs w:val="24"/>
        </w:rPr>
        <w:t xml:space="preserve"> </w:t>
      </w:r>
    </w:p>
    <w:sectPr w:rsidR="00B25AD0" w:rsidSect="003A658E">
      <w:headerReference w:type="default" r:id="rId62"/>
      <w:footerReference w:type="default" r:id="rId63"/>
      <w:pgSz w:w="12240" w:h="15840"/>
      <w:pgMar w:top="1417" w:right="1417" w:bottom="1417" w:left="1417" w:header="720" w:footer="720" w:gutter="0"/>
      <w:pgNumType w:start="1"/>
      <w:cols w:space="720"/>
      <w:titlePg/>
      <w:docGrid w:linePitch="299"/>
    </w:sectPr>
  </w:body>
</w:document>
</file>

<file path=word/comments.xml><?xml version="1.0" encoding="utf-8"?>
<w:comment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1" w:author="Enfermeria" w:date="2022-12-07T15:40:00Z" w:initials="E">
    <w:p w14:paraId="14D55F43" w14:textId="5BD8D41A" w:rsidR="007D4556" w:rsidRDefault="007D4556">
      <w:pPr>
        <w:pStyle w:val="Textocomentario"/>
      </w:pPr>
      <w:r>
        <w:rPr>
          <w:rStyle w:val="Refdecomentario"/>
        </w:rPr>
        <w:annotationRef/>
      </w:r>
      <w:r>
        <w:t>Según requisito de la revista, tablas y figuras se anexan aparte.</w:t>
      </w:r>
    </w:p>
  </w:comment>
  <w:comment w:id="2" w:author="Enfermeria" w:date="2022-12-07T15:43:00Z" w:initials="E">
    <w:p w14:paraId="42012389" w14:textId="542DE915" w:rsidR="008679D1" w:rsidRDefault="008679D1">
      <w:pPr>
        <w:pStyle w:val="Textocomentario"/>
      </w:pPr>
      <w:r>
        <w:rPr>
          <w:rStyle w:val="Refdecomentario"/>
        </w:rPr>
        <w:annotationRef/>
      </w:r>
      <w:r>
        <w:t>Revisar cómo se colocan las tablas, según formato vancouver</w:t>
      </w:r>
    </w:p>
  </w:comment>
  <w:comment w:id="3" w:author="Enfermeria" w:date="2022-12-07T15:44:00Z" w:initials="E">
    <w:p w14:paraId="1B7801BD" w14:textId="5A18E134" w:rsidR="008679D1" w:rsidRDefault="008679D1">
      <w:pPr>
        <w:pStyle w:val="Textocomentario"/>
      </w:pPr>
      <w:r>
        <w:rPr>
          <w:rStyle w:val="Refdecomentario"/>
        </w:rPr>
        <w:annotationRef/>
      </w:r>
      <w:r>
        <w:t>Falta flujograma prisma</w:t>
      </w:r>
    </w:p>
  </w:comment>
  <w:comment w:id="4" w:author="Enfermeria" w:date="2022-12-07T15:46:00Z" w:initials="E">
    <w:p w14:paraId="5BF2B150" w14:textId="068B6EA9" w:rsidR="008679D1" w:rsidRDefault="008679D1">
      <w:pPr>
        <w:pStyle w:val="Textocomentario"/>
      </w:pPr>
      <w:r>
        <w:rPr>
          <w:rStyle w:val="Refdecomentario"/>
        </w:rPr>
        <w:annotationRef/>
      </w:r>
      <w:r>
        <w:t>Referencia?</w:t>
      </w:r>
    </w:p>
  </w:comment>
  <w:comment w:id="5" w:author="Enfermeria" w:date="2022-12-07T15:46:00Z" w:initials="E">
    <w:p w14:paraId="3FF25E3D" w14:textId="77777777" w:rsidR="008679D1" w:rsidRDefault="008679D1">
      <w:pPr>
        <w:pStyle w:val="Textocomentario"/>
      </w:pPr>
      <w:r>
        <w:rPr>
          <w:rStyle w:val="Refdecomentario"/>
        </w:rPr>
        <w:annotationRef/>
      </w:r>
      <w:r>
        <w:t>Revisar la forma en que se presentan las tablas según vancouver</w:t>
      </w:r>
    </w:p>
    <w:p w14:paraId="7567FBAF" w14:textId="57C65725" w:rsidR="008679D1" w:rsidRDefault="008679D1">
      <w:pPr>
        <w:pStyle w:val="Textocomentario"/>
      </w:pPr>
      <w:r>
        <w:t>Según exigencia de la revista, van al final, en hojas separadas.</w:t>
      </w:r>
    </w:p>
  </w:comment>
  <w:comment w:id="6" w:author="Enfermeria" w:date="2022-12-07T16:12:00Z" w:initials="E">
    <w:p w14:paraId="3C94445A" w14:textId="1B332985" w:rsidR="0018650F" w:rsidRDefault="0018650F">
      <w:pPr>
        <w:pStyle w:val="Textocomentario"/>
      </w:pPr>
      <w:r>
        <w:rPr>
          <w:rStyle w:val="Refdecomentario"/>
        </w:rPr>
        <w:annotationRef/>
      </w:r>
      <w:r>
        <w:t xml:space="preserve">Noticia en </w:t>
      </w:r>
      <w:r w:rsidR="00E716FA">
        <w:t>página</w:t>
      </w:r>
      <w:r>
        <w:t xml:space="preserve"> corporativa</w:t>
      </w:r>
    </w:p>
  </w:comment>
  <w:comment w:id="7" w:author="Enfermeria" w:date="2022-12-07T16:11:00Z" w:initials="E">
    <w:p w14:paraId="58BA688B" w14:textId="6A62FF69" w:rsidR="0018650F" w:rsidRDefault="0018650F">
      <w:pPr>
        <w:pStyle w:val="Textocomentario"/>
      </w:pPr>
      <w:r>
        <w:rPr>
          <w:rStyle w:val="Refdecomentario"/>
        </w:rPr>
        <w:annotationRef/>
      </w:r>
      <w:r>
        <w:t>Es autor corporativo?</w:t>
      </w:r>
    </w:p>
  </w:comment>
  <w:comment w:id="8" w:author="Enfermeria" w:date="2022-12-07T16:09:00Z" w:initials="E">
    <w:p w14:paraId="075FB0C0" w14:textId="1A45A427" w:rsidR="0018650F" w:rsidRDefault="0018650F">
      <w:pPr>
        <w:pStyle w:val="Textocomentario"/>
      </w:pPr>
      <w:r>
        <w:rPr>
          <w:rStyle w:val="Refdecomentario"/>
        </w:rPr>
        <w:annotationRef/>
      </w:r>
      <w:r>
        <w:t>Autor?</w:t>
      </w:r>
    </w:p>
  </w:comment>
  <w:comment w:id="9" w:author="Enfermeria" w:date="2022-12-07T16:10:00Z" w:initials="E">
    <w:p w14:paraId="3872B9BF" w14:textId="0E2123BB" w:rsidR="0018650F" w:rsidRDefault="0018650F">
      <w:pPr>
        <w:pStyle w:val="Textocomentario"/>
      </w:pPr>
      <w:r>
        <w:rPr>
          <w:rStyle w:val="Refdecomentario"/>
        </w:rPr>
        <w:annotationRef/>
      </w:r>
      <w:r>
        <w:t>Los titulos deben colocarse en el idioma original de la revista</w:t>
      </w:r>
    </w:p>
  </w:comment>
  <w:comment w:id="11" w:author="Enfermeria" w:date="2022-12-07T16:16:00Z" w:initials="E">
    <w:p w14:paraId="28C68CA8" w14:textId="08459B7D" w:rsidR="00E716FA" w:rsidRDefault="00E716FA">
      <w:pPr>
        <w:pStyle w:val="Textocomentario"/>
      </w:pPr>
      <w:r>
        <w:rPr>
          <w:rStyle w:val="Refdecomentario"/>
        </w:rPr>
        <w:annotationRef/>
      </w:r>
      <w:r>
        <w:t>Link no sirve</w:t>
      </w:r>
    </w:p>
  </w:comment>
</w:comments>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14D55F43" w15:done="0"/>
  <w15:commentEx w15:paraId="42012389" w15:done="0"/>
  <w15:commentEx w15:paraId="1B7801BD" w15:done="0"/>
  <w15:commentEx w15:paraId="5BF2B150" w15:done="0"/>
  <w15:commentEx w15:paraId="7567FBAF" w15:done="0"/>
  <w15:commentEx w15:paraId="3C94445A" w15:done="0"/>
  <w15:commentEx w15:paraId="58BA688B" w15:done="0"/>
  <w15:commentEx w15:paraId="075FB0C0" w15:done="0"/>
  <w15:commentEx w15:paraId="3872B9BF" w15:done="0"/>
  <w15:commentEx w15:paraId="28C68CA8" w15:done="0"/>
</w15:commentsEx>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400397" w14:textId="77777777" w:rsidR="001C4A97" w:rsidRDefault="001C4A97">
      <w:pPr>
        <w:spacing w:line="240" w:lineRule="auto"/>
      </w:pPr>
      <w:r>
        <w:separator/>
      </w:r>
    </w:p>
  </w:endnote>
  <w:endnote w:type="continuationSeparator" w:id="0">
    <w:p w14:paraId="7599BD8D" w14:textId="77777777" w:rsidR="001C4A97" w:rsidRDefault="001C4A9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97806291"/>
      <w:docPartObj>
        <w:docPartGallery w:val="Page Numbers (Bottom of Page)"/>
        <w:docPartUnique/>
      </w:docPartObj>
    </w:sdtPr>
    <w:sdtEndPr/>
    <w:sdtContent>
      <w:p w14:paraId="11CB2879" w14:textId="13D23537" w:rsidR="003A658E" w:rsidRDefault="003A658E">
        <w:pPr>
          <w:pStyle w:val="Piedepgina"/>
          <w:jc w:val="right"/>
        </w:pPr>
        <w:r>
          <w:fldChar w:fldCharType="begin"/>
        </w:r>
        <w:r>
          <w:instrText>PAGE   \* MERGEFORMAT</w:instrText>
        </w:r>
        <w:r>
          <w:fldChar w:fldCharType="separate"/>
        </w:r>
        <w:r w:rsidR="003E7C58" w:rsidRPr="003E7C58">
          <w:rPr>
            <w:noProof/>
            <w:lang w:val="es-ES"/>
          </w:rPr>
          <w:t>19</w:t>
        </w:r>
        <w:r>
          <w:fldChar w:fldCharType="end"/>
        </w:r>
      </w:p>
    </w:sdtContent>
  </w:sdt>
  <w:p w14:paraId="7C68BC95" w14:textId="77777777" w:rsidR="003A658E" w:rsidRDefault="003A658E">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163FF4" w14:textId="77777777" w:rsidR="001C4A97" w:rsidRDefault="001C4A97">
      <w:pPr>
        <w:spacing w:line="240" w:lineRule="auto"/>
      </w:pPr>
      <w:r>
        <w:separator/>
      </w:r>
    </w:p>
  </w:footnote>
  <w:footnote w:type="continuationSeparator" w:id="0">
    <w:p w14:paraId="485E871F" w14:textId="77777777" w:rsidR="001C4A97" w:rsidRDefault="001C4A9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3DA661" w14:textId="534A3133" w:rsidR="00B25AD0" w:rsidRDefault="00B25AD0">
    <w:pPr>
      <w:jc w:val="right"/>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7062E61"/>
    <w:multiLevelType w:val="multilevel"/>
    <w:tmpl w:val="E4F8B654"/>
    <w:lvl w:ilvl="0">
      <w:start w:val="1"/>
      <w:numFmt w:val="decimal"/>
      <w:lvlText w:val="%1."/>
      <w:lvlJc w:val="right"/>
      <w:pPr>
        <w:ind w:left="720" w:hanging="360"/>
      </w:pPr>
      <w:rPr>
        <w:u w:val="none"/>
      </w:rPr>
    </w:lvl>
    <w:lvl w:ilvl="1">
      <w:start w:val="1"/>
      <w:numFmt w:val="decimal"/>
      <w:lvlText w:val="%1.%2."/>
      <w:lvlJc w:val="right"/>
      <w:pPr>
        <w:ind w:left="1440" w:hanging="36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1" w15:restartNumberingAfterBreak="0">
    <w:nsid w:val="5D28214A"/>
    <w:multiLevelType w:val="multilevel"/>
    <w:tmpl w:val="7794F5A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0"/>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Enfermeria">
    <w15:presenceInfo w15:providerId="Windows Live" w15:userId="842232adc09a14b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oNotDisplayPageBoundarie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5AD0"/>
    <w:rsid w:val="00007D6E"/>
    <w:rsid w:val="0018650F"/>
    <w:rsid w:val="001C4A97"/>
    <w:rsid w:val="003A658E"/>
    <w:rsid w:val="003E7C58"/>
    <w:rsid w:val="007D4556"/>
    <w:rsid w:val="008679D1"/>
    <w:rsid w:val="008C3CF6"/>
    <w:rsid w:val="00937A8C"/>
    <w:rsid w:val="00997293"/>
    <w:rsid w:val="00B25AD0"/>
    <w:rsid w:val="00CF4E61"/>
    <w:rsid w:val="00E3117F"/>
    <w:rsid w:val="00E716F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F4BECD"/>
  <w15:docId w15:val="{2D049ACA-71C0-478A-BE21-8C1FEAB6D2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s" w:eastAsia="es-CL"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paragraph" w:styleId="Encabezado">
    <w:name w:val="header"/>
    <w:basedOn w:val="Normal"/>
    <w:link w:val="EncabezadoCar"/>
    <w:uiPriority w:val="99"/>
    <w:unhideWhenUsed/>
    <w:rsid w:val="003A658E"/>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3A658E"/>
  </w:style>
  <w:style w:type="paragraph" w:styleId="Piedepgina">
    <w:name w:val="footer"/>
    <w:basedOn w:val="Normal"/>
    <w:link w:val="PiedepginaCar"/>
    <w:uiPriority w:val="99"/>
    <w:unhideWhenUsed/>
    <w:rsid w:val="003A658E"/>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3A658E"/>
  </w:style>
  <w:style w:type="character" w:styleId="Refdecomentario">
    <w:name w:val="annotation reference"/>
    <w:basedOn w:val="Fuentedeprrafopredeter"/>
    <w:uiPriority w:val="99"/>
    <w:semiHidden/>
    <w:unhideWhenUsed/>
    <w:rsid w:val="007D4556"/>
    <w:rPr>
      <w:sz w:val="16"/>
      <w:szCs w:val="16"/>
    </w:rPr>
  </w:style>
  <w:style w:type="paragraph" w:styleId="Textocomentario">
    <w:name w:val="annotation text"/>
    <w:basedOn w:val="Normal"/>
    <w:link w:val="TextocomentarioCar"/>
    <w:uiPriority w:val="99"/>
    <w:semiHidden/>
    <w:unhideWhenUsed/>
    <w:rsid w:val="007D4556"/>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D4556"/>
    <w:rPr>
      <w:sz w:val="20"/>
      <w:szCs w:val="20"/>
    </w:rPr>
  </w:style>
  <w:style w:type="paragraph" w:styleId="Asuntodelcomentario">
    <w:name w:val="annotation subject"/>
    <w:basedOn w:val="Textocomentario"/>
    <w:next w:val="Textocomentario"/>
    <w:link w:val="AsuntodelcomentarioCar"/>
    <w:uiPriority w:val="99"/>
    <w:semiHidden/>
    <w:unhideWhenUsed/>
    <w:rsid w:val="007D4556"/>
    <w:rPr>
      <w:b/>
      <w:bCs/>
    </w:rPr>
  </w:style>
  <w:style w:type="character" w:customStyle="1" w:styleId="AsuntodelcomentarioCar">
    <w:name w:val="Asunto del comentario Car"/>
    <w:basedOn w:val="TextocomentarioCar"/>
    <w:link w:val="Asuntodelcomentario"/>
    <w:uiPriority w:val="99"/>
    <w:semiHidden/>
    <w:rsid w:val="007D4556"/>
    <w:rPr>
      <w:b/>
      <w:bCs/>
      <w:sz w:val="20"/>
      <w:szCs w:val="20"/>
    </w:rPr>
  </w:style>
  <w:style w:type="paragraph" w:styleId="Textodeglobo">
    <w:name w:val="Balloon Text"/>
    <w:basedOn w:val="Normal"/>
    <w:link w:val="TextodegloboCar"/>
    <w:uiPriority w:val="99"/>
    <w:semiHidden/>
    <w:unhideWhenUsed/>
    <w:rsid w:val="007D4556"/>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455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26" Type="http://schemas.openxmlformats.org/officeDocument/2006/relationships/hyperlink" Target="http://www.senama.gob.cl/storage/docs/GLOSARIO_GERONTOLOGICO.pdf" TargetMode="External"/><Relationship Id="rId21" Type="http://schemas.openxmlformats.org/officeDocument/2006/relationships/hyperlink" Target="https://www.segg.es/actualidad-segg/2022/03/14/dia-mundial-del-delirium-2022" TargetMode="External"/><Relationship Id="rId34" Type="http://schemas.openxmlformats.org/officeDocument/2006/relationships/hyperlink" Target="https://www.elsevier.es/es-revista-enfermeria-intensiva-142-articulo-factores-asociados-con-el-delirium-S1130239918300579" TargetMode="External"/><Relationship Id="rId42" Type="http://schemas.openxmlformats.org/officeDocument/2006/relationships/hyperlink" Target="https://eds-p-ebscohost-com.bibliotecadigital.uv.cl/eds/detail/detail?vid=11&amp;sid=be92537c-f450-4fb7-860c-ab83bc9b56e7%40redis&amp;bdata=JkF1dGhUeXBlPWlwLHVpZCxjb29raWUmbGFuZz1lcyZzaXRlPWVkcy1saXZl" TargetMode="External"/><Relationship Id="rId47" Type="http://schemas.openxmlformats.org/officeDocument/2006/relationships/hyperlink" Target="https://eds-s-ebscohost-com.bibliotecadigital.uv.cl/eds/detail/detail?vid=16&amp;sid=8d507885-7d2d-4ce5-92e0-7eececd13427%40redis&amp;bdata=JkF1dGhUeXBlPWlwLHVpZCxjb29raWUmbGFuZz1lcyZzaXRlPWVkcy1saXZl" TargetMode="External"/><Relationship Id="rId50" Type="http://schemas.openxmlformats.org/officeDocument/2006/relationships/hyperlink" Target="https://www.frontiersin.org/articles/10.3389/fpsyt.2021.655087/full" TargetMode="External"/><Relationship Id="rId55" Type="http://schemas.openxmlformats.org/officeDocument/2006/relationships/hyperlink" Target="https://www.frontiersin.org/articles/10.3389/fnagi.2021.626127/full?&amp;utm_source=Email_to_authors_&amp;utm_medium=Email&amp;utm_content=T1_11.5e1_author&amp;utm_campaign=Email_publication&amp;field=&amp;journalName=Frontiers_in_Aging_Neuroscience&amp;id=626127" TargetMode="External"/><Relationship Id="rId63" Type="http://schemas.openxmlformats.org/officeDocument/2006/relationships/footer" Target="footer1.xml"/><Relationship Id="rId7" Type="http://schemas.openxmlformats.org/officeDocument/2006/relationships/hyperlink" Target="https://www.linguee.es/portugues-espanol/traduccion/revis%C3%A3o.html" TargetMode="External"/><Relationship Id="rId2" Type="http://schemas.openxmlformats.org/officeDocument/2006/relationships/styles" Target="styles.xml"/><Relationship Id="rId16" Type="http://schemas.openxmlformats.org/officeDocument/2006/relationships/comments" Target="comments.xml"/><Relationship Id="rId29" Type="http://schemas.openxmlformats.org/officeDocument/2006/relationships/hyperlink" Target="https://www-sciencedirect-com.bibliotecadigital.uv.cl/science/article/pii/S0020748921001772" TargetMode="External"/><Relationship Id="rId11" Type="http://schemas.openxmlformats.org/officeDocument/2006/relationships/hyperlink" Target="https://orcid.org/0000-0003-2729-1939" TargetMode="External"/><Relationship Id="rId24" Type="http://schemas.openxmlformats.org/officeDocument/2006/relationships/hyperlink" Target="https://www.redclinica.cl/institucional/noticias-c/newsid/1443.aspx" TargetMode="External"/><Relationship Id="rId32" Type="http://schemas.openxmlformats.org/officeDocument/2006/relationships/hyperlink" Target="https://www-sciencedirect-com.bibliotecadigital.uv.cl/science/article/pii/S0883944121001866" TargetMode="External"/><Relationship Id="rId37" Type="http://schemas.openxmlformats.org/officeDocument/2006/relationships/hyperlink" Target="http://cuiden.fundacionindex.com/%20cuiden/extendida.php?cdid=702341_1" TargetMode="External"/><Relationship Id="rId40" Type="http://schemas.openxmlformats.org/officeDocument/2006/relationships/hyperlink" Target="http://cuiden.fundacionindex.com/" TargetMode="External"/><Relationship Id="rId45" Type="http://schemas.openxmlformats.org/officeDocument/2006/relationships/hyperlink" Target="https://eds-s-ebscohost-com.bibliotecadigital.uv.cl/eds/detail/detail?vid=0&amp;sid=d5d00a9a-f5df-4824-a9dd-a742b26bbffc%40redis&amp;bdata=JkF1dGhUeXBlPWlwLHVpZCxjb29raWUmbGFuZz1lcyZzaXRlPWVkcy1saXZl" TargetMode="External"/><Relationship Id="rId53" Type="http://schemas.openxmlformats.org/officeDocument/2006/relationships/hyperlink" Target="https://journals.plos.org/plosone/article/file?id=10.1371/journal.pone.0193034&amp;type=printable" TargetMode="External"/><Relationship Id="rId58" Type="http://schemas.openxmlformats.org/officeDocument/2006/relationships/hyperlink" Target="http://www.revenf.bvs.br/pdf/rbaen/v32/en_1984-0446-rbaen-32-e26031.pdf" TargetMode="External"/><Relationship Id="rId66" Type="http://schemas.openxmlformats.org/officeDocument/2006/relationships/theme" Target="theme/theme1.xml"/><Relationship Id="rId5" Type="http://schemas.openxmlformats.org/officeDocument/2006/relationships/footnotes" Target="footnotes.xml"/><Relationship Id="rId61" Type="http://schemas.openxmlformats.org/officeDocument/2006/relationships/hyperlink" Target="https://scielo.isciii.es/pdf/eg/v17n52/1695-6141-eg-17-52-640.pdf" TargetMode="External"/><Relationship Id="rId19" Type="http://schemas.openxmlformats.org/officeDocument/2006/relationships/hyperlink" Target="https://www.minsal.cl/wp-content/uploads/2019/08/2019.08.13_MANUAL-DE-GERIATRIA-PARA-MEDICOS.pdf" TargetMode="External"/><Relationship Id="rId14" Type="http://schemas.openxmlformats.org/officeDocument/2006/relationships/hyperlink" Target="https://orcid.org/0000-0002-2584-6884" TargetMode="External"/><Relationship Id="rId22" Type="http://schemas.openxmlformats.org/officeDocument/2006/relationships/hyperlink" Target="https://scielo.isciii.es/scielo.php?script=sci_arttext&amp;pid=S0210-56912010000100001" TargetMode="External"/><Relationship Id="rId27" Type="http://schemas.openxmlformats.org/officeDocument/2006/relationships/hyperlink" Target="http://modelosenfermeros2013.blogspot.com/2013/06/modelo-de-sistemas-betty-neuman.html" TargetMode="External"/><Relationship Id="rId30" Type="http://schemas.openxmlformats.org/officeDocument/2006/relationships/hyperlink" Target="https://www-sciencedirect-com.bibliotecadigital.uv.cl/science/article/pii/S0020748921001772" TargetMode="External"/><Relationship Id="rId35" Type="http://schemas.openxmlformats.org/officeDocument/2006/relationships/hyperlink" Target="https://pesquisa.bvsalud.org/portal/resource/es/mdl-33789299?lang=es" TargetMode="External"/><Relationship Id="rId43" Type="http://schemas.openxmlformats.org/officeDocument/2006/relationships/hyperlink" Target="https://eds-p-ebscohost-com.bibliotecadigital.uv.cl/eds/detail/detail?vid=11&amp;sid=be92537c-f450-4fb7-860c-ab83bc9b56e7%40redis&amp;bdata=JkF1dGhUeXBlPWlwLHVpZCxjb29raWUmbGFuZz1lcyZzaXRlPWVkcy1saXZl" TargetMode="External"/><Relationship Id="rId48" Type="http://schemas.openxmlformats.org/officeDocument/2006/relationships/hyperlink" Target="https://lume.ufrgs.br/bitstream/handle/10183/213671/001116425.pdf?sequence=1&amp;isAllowed=y" TargetMode="External"/><Relationship Id="rId56" Type="http://schemas.openxmlformats.org/officeDocument/2006/relationships/hyperlink" Target="http://old.scielo.br/scielo.php?script=sci_abstract&amp;pid=S0080-62342022000100403&amp;lng=en&amp;nrm=iso&amp;tlng=es" TargetMode="External"/><Relationship Id="rId64" Type="http://schemas.openxmlformats.org/officeDocument/2006/relationships/fontTable" Target="fontTable.xml"/><Relationship Id="rId8" Type="http://schemas.openxmlformats.org/officeDocument/2006/relationships/hyperlink" Target="https://orcid.org/0000-0001-6855-1210" TargetMode="External"/><Relationship Id="rId51" Type="http://schemas.openxmlformats.org/officeDocument/2006/relationships/hyperlink" Target="https://www.frontiersin.org/articles/10.3389/fpsyt.2021.655087/full" TargetMode="External"/><Relationship Id="rId3" Type="http://schemas.openxmlformats.org/officeDocument/2006/relationships/settings" Target="settings.xml"/><Relationship Id="rId12" Type="http://schemas.openxmlformats.org/officeDocument/2006/relationships/hyperlink" Target="https://orcid.org/0000-0001-5140-7888" TargetMode="External"/><Relationship Id="rId17" Type="http://schemas.microsoft.com/office/2011/relationships/commentsExtended" Target="commentsExtended.xml"/><Relationship Id="rId25" Type="http://schemas.openxmlformats.org/officeDocument/2006/relationships/hyperlink" Target="https://scielo.isciii.es/pdf/medinte/v34n1/original1.pdf" TargetMode="External"/><Relationship Id="rId33" Type="http://schemas.openxmlformats.org/officeDocument/2006/relationships/hyperlink" Target="https://www.elsevier.es/es-revista-enfermeria-intensiva-142-articulo-factores-asociados-con-el-delirium-S1130239918300579" TargetMode="External"/><Relationship Id="rId38" Type="http://schemas.openxmlformats.org/officeDocument/2006/relationships/hyperlink" Target="http://www.index-f.com/para/n27/pdf/068.pdf" TargetMode="External"/><Relationship Id="rId46" Type="http://schemas.openxmlformats.org/officeDocument/2006/relationships/hyperlink" Target="https://eds-s-ebscohost-com.bibliotecadigital.uv.cl/eds/detail/detail?vid=16&amp;sid=8d507885-7d2d-4ce5-92e0-7eececd13427%40redis&amp;bdata=JkF1dGhUeXBlPWlwLHVpZCxjb29raWUmbGFuZz1lcyZzaXRlPWVkcy1saXZl" TargetMode="External"/><Relationship Id="rId59" Type="http://schemas.openxmlformats.org/officeDocument/2006/relationships/hyperlink" Target="http://www.revenf.bvs.br/pdf/rbaen/v32/en_1984-0446-rbaen-32-e26031.pdf" TargetMode="External"/><Relationship Id="rId20" Type="http://schemas.openxmlformats.org/officeDocument/2006/relationships/hyperlink" Target="https://www.medigraphic.com/pdfs/revmedcoscen/rmc-2015/rmc151b.pdf" TargetMode="External"/><Relationship Id="rId41" Type="http://schemas.openxmlformats.org/officeDocument/2006/relationships/hyperlink" Target="http://cuiden.fundacionindex.com/" TargetMode="External"/><Relationship Id="rId54" Type="http://schemas.openxmlformats.org/officeDocument/2006/relationships/hyperlink" Target="https://www.frontiersin.org/articles/10.3389/fnagi.2021.626127/full?&amp;utm_source=Email_to_authors_&amp;utm_medium=Email&amp;utm_content=T1_11.5e1_author&amp;utm_campaign=Email_publication&amp;field=&amp;journalName=Frontiers_in_Aging_Neuroscience&amp;id=626127" TargetMode="External"/><Relationship Id="rId62"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orcid.org/0000-0002-9436-8708" TargetMode="External"/><Relationship Id="rId23" Type="http://schemas.openxmlformats.org/officeDocument/2006/relationships/hyperlink" Target="https://sintesis.med.uchile.cl/index.php/profesionales/informacion-para-profesionales/medicina/condiciones-clinicas2/psiquiatria/1029-5-01-1-014" TargetMode="External"/><Relationship Id="rId28" Type="http://schemas.openxmlformats.org/officeDocument/2006/relationships/hyperlink" Target="https://rnao.ca/sites/rnao-ca/files/bpg/translations/DDD_BPG.pdf" TargetMode="External"/><Relationship Id="rId36" Type="http://schemas.openxmlformats.org/officeDocument/2006/relationships/hyperlink" Target="https://pesquisa.bvsalud.org/portal/resource/es/mdl-33789299?lang=es" TargetMode="External"/><Relationship Id="rId49" Type="http://schemas.openxmlformats.org/officeDocument/2006/relationships/hyperlink" Target="https://lume.ufrgs.br/bitstream/handle/10183/213671/001116425.pdf?sequence=1&amp;isAllowed=y" TargetMode="External"/><Relationship Id="rId57" Type="http://schemas.openxmlformats.org/officeDocument/2006/relationships/hyperlink" Target="http://old.scielo.br/scielo.php?script=sci_abstract&amp;pid=S0080-62342022000100403&amp;lng=en&amp;nrm=iso&amp;tlng=es" TargetMode="External"/><Relationship Id="rId10" Type="http://schemas.openxmlformats.org/officeDocument/2006/relationships/hyperlink" Target="mailto:ivonne.jaime@uv.cl" TargetMode="External"/><Relationship Id="rId31" Type="http://schemas.openxmlformats.org/officeDocument/2006/relationships/hyperlink" Target="https://www-sciencedirect-com.bibliotecadigital.uv.cl/science/article/pii/S0883944121001866" TargetMode="External"/><Relationship Id="rId44" Type="http://schemas.openxmlformats.org/officeDocument/2006/relationships/hyperlink" Target="https://eds-s-ebscohost-com.bibliotecadigital.uv.cl/eds/detail/detail?vid=0&amp;sid=d5d00a9a-f5df-4824-a9dd-a742b26bbffc%40redis&amp;bdata=JkF1dGhUeXBlPWlwLHVpZCxjb29raWUmbGFuZz1lcyZzaXRlPWVkcy1saXZl" TargetMode="External"/><Relationship Id="rId52" Type="http://schemas.openxmlformats.org/officeDocument/2006/relationships/hyperlink" Target="https://journals.plos.org/plosone/article/file?id=10.1371/journal.pone.0193034&amp;type=printable" TargetMode="External"/><Relationship Id="rId60" Type="http://schemas.openxmlformats.org/officeDocument/2006/relationships/hyperlink" Target="https://scielo.isciii.es/scielo.php?script=sci_arttext&amp;pid=S0210-56912010000100001" TargetMode="External"/><Relationship Id="rId65" Type="http://schemas.microsoft.com/office/2011/relationships/people" Target="people.xml"/><Relationship Id="rId4" Type="http://schemas.openxmlformats.org/officeDocument/2006/relationships/webSettings" Target="webSettings.xml"/><Relationship Id="rId9" Type="http://schemas.openxmlformats.org/officeDocument/2006/relationships/hyperlink" Target="https://orcid.org/0000-0001-6855-1210" TargetMode="External"/><Relationship Id="rId13" Type="http://schemas.openxmlformats.org/officeDocument/2006/relationships/hyperlink" Target="https://orcid.org/0000-0001-7764-4726" TargetMode="External"/><Relationship Id="rId18" Type="http://schemas.openxmlformats.org/officeDocument/2006/relationships/hyperlink" Target="https://conocimientoenfermero.es/index.php/ce/article/view/165/94" TargetMode="External"/><Relationship Id="rId39" Type="http://schemas.openxmlformats.org/officeDocument/2006/relationships/hyperlink" Target="http://cuiden.fundacionindex.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19</Pages>
  <Words>5214</Words>
  <Characters>28680</Characters>
  <Application>Microsoft Office Word</Application>
  <DocSecurity>0</DocSecurity>
  <Lines>239</Lines>
  <Paragraphs>67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33827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Enfermeria</dc:creator>
  <cp:lastModifiedBy>Enfermeria</cp:lastModifiedBy>
  <cp:revision>2</cp:revision>
  <dcterms:created xsi:type="dcterms:W3CDTF">2024-08-26T19:46:00Z</dcterms:created>
  <dcterms:modified xsi:type="dcterms:W3CDTF">2024-08-26T19:46:00Z</dcterms:modified>
</cp:coreProperties>
</file>