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290" w:val="left" w:leader="none"/>
        </w:tabs>
        <w:spacing w:line="240" w:lineRule="auto"/>
        <w:ind w:left="121" w:right="0" w:firstLine="0"/>
        <w:rPr>
          <w:sz w:val="20"/>
        </w:rPr>
      </w:pPr>
      <w:r>
        <w:rPr>
          <w:sz w:val="20"/>
        </w:rPr>
        <w:drawing>
          <wp:inline distT="0" distB="0" distL="0" distR="0">
            <wp:extent cx="1056064" cy="516635"/>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6064" cy="516635"/>
                    </a:xfrm>
                    <a:prstGeom prst="rect">
                      <a:avLst/>
                    </a:prstGeom>
                  </pic:spPr>
                </pic:pic>
              </a:graphicData>
            </a:graphic>
          </wp:inline>
        </w:drawing>
      </w:r>
      <w:r>
        <w:rPr>
          <w:sz w:val="20"/>
        </w:rPr>
      </w:r>
      <w:r>
        <w:rPr>
          <w:sz w:val="20"/>
        </w:rPr>
        <w:tab/>
      </w:r>
      <w:r>
        <w:rPr>
          <w:position w:val="1"/>
          <w:sz w:val="20"/>
        </w:rPr>
        <w:drawing>
          <wp:inline distT="0" distB="0" distL="0" distR="0">
            <wp:extent cx="880689" cy="772668"/>
            <wp:effectExtent l="0" t="0" r="0" b="0"/>
            <wp:docPr id="3" name="image2.jpe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80689" cy="772668"/>
                    </a:xfrm>
                    <a:prstGeom prst="rect">
                      <a:avLst/>
                    </a:prstGeom>
                  </pic:spPr>
                </pic:pic>
              </a:graphicData>
            </a:graphic>
          </wp:inline>
        </w:drawing>
      </w:r>
      <w:r>
        <w:rPr>
          <w:position w:val="1"/>
          <w:sz w:val="20"/>
        </w:rPr>
      </w:r>
    </w:p>
    <w:p>
      <w:pPr>
        <w:pStyle w:val="BodyText"/>
        <w:rPr>
          <w:sz w:val="20"/>
        </w:rPr>
      </w:pPr>
    </w:p>
    <w:p>
      <w:pPr>
        <w:pStyle w:val="BodyText"/>
        <w:rPr>
          <w:sz w:val="20"/>
        </w:rPr>
      </w:pPr>
    </w:p>
    <w:p>
      <w:pPr>
        <w:pStyle w:val="BodyText"/>
        <w:spacing w:before="4"/>
        <w:rPr>
          <w:sz w:val="29"/>
        </w:rPr>
      </w:pPr>
    </w:p>
    <w:p>
      <w:pPr>
        <w:spacing w:before="90"/>
        <w:ind w:left="1725" w:right="2958" w:firstLine="0"/>
        <w:jc w:val="center"/>
        <w:rPr>
          <w:rFonts w:ascii="Arial" w:hAnsi="Arial"/>
          <w:b/>
          <w:sz w:val="28"/>
        </w:rPr>
      </w:pPr>
      <w:r>
        <w:rPr>
          <w:rFonts w:ascii="Arial" w:hAnsi="Arial"/>
          <w:b/>
          <w:sz w:val="28"/>
        </w:rPr>
        <w:t>UNIVERSIDAD DE VALPARAÍSO FACULTAD DE MEDICINA</w:t>
      </w:r>
    </w:p>
    <w:p>
      <w:pPr>
        <w:spacing w:line="322" w:lineRule="exact" w:before="0"/>
        <w:ind w:left="1725" w:right="2943" w:firstLine="0"/>
        <w:jc w:val="center"/>
        <w:rPr>
          <w:rFonts w:ascii="Arial" w:hAnsi="Arial"/>
          <w:b/>
          <w:sz w:val="28"/>
        </w:rPr>
      </w:pPr>
      <w:r>
        <w:rPr>
          <w:rFonts w:ascii="Arial" w:hAnsi="Arial"/>
          <w:b/>
          <w:sz w:val="28"/>
        </w:rPr>
        <w:t>CARRERA DE TECNOLOGíA MÉDICA</w:t>
      </w:r>
    </w:p>
    <w:p>
      <w:pPr>
        <w:pStyle w:val="BodyText"/>
        <w:rPr>
          <w:rFonts w:ascii="Arial"/>
          <w:b/>
          <w:sz w:val="30"/>
        </w:rPr>
      </w:pPr>
    </w:p>
    <w:p>
      <w:pPr>
        <w:pStyle w:val="BodyText"/>
        <w:spacing w:before="10"/>
        <w:rPr>
          <w:rFonts w:ascii="Arial"/>
          <w:b/>
          <w:sz w:val="37"/>
        </w:rPr>
      </w:pPr>
    </w:p>
    <w:p>
      <w:pPr>
        <w:spacing w:line="360" w:lineRule="auto" w:before="0"/>
        <w:ind w:left="138" w:right="1356" w:hanging="13"/>
        <w:jc w:val="center"/>
        <w:rPr>
          <w:sz w:val="36"/>
        </w:rPr>
      </w:pPr>
      <w:r>
        <w:rPr>
          <w:sz w:val="36"/>
        </w:rPr>
        <w:t>“Edición genómica mediante CRISPR doble de los tres pseudogenes de </w:t>
      </w:r>
      <w:r>
        <w:rPr>
          <w:i/>
          <w:sz w:val="36"/>
        </w:rPr>
        <w:t>Rnf19a </w:t>
      </w:r>
      <w:r>
        <w:rPr>
          <w:sz w:val="36"/>
        </w:rPr>
        <w:t>en células somáticas y germinales de ratón.”</w:t>
      </w:r>
    </w:p>
    <w:p>
      <w:pPr>
        <w:pStyle w:val="BodyText"/>
        <w:rPr>
          <w:sz w:val="40"/>
        </w:rPr>
      </w:pPr>
    </w:p>
    <w:p>
      <w:pPr>
        <w:pStyle w:val="BodyText"/>
        <w:rPr>
          <w:sz w:val="40"/>
        </w:rPr>
      </w:pPr>
    </w:p>
    <w:p>
      <w:pPr>
        <w:spacing w:before="324"/>
        <w:ind w:left="1725" w:right="2943" w:firstLine="0"/>
        <w:jc w:val="center"/>
        <w:rPr>
          <w:rFonts w:ascii="Arial"/>
          <w:b/>
          <w:sz w:val="23"/>
        </w:rPr>
      </w:pPr>
      <w:r>
        <w:rPr>
          <w:rFonts w:ascii="Arial"/>
          <w:b/>
          <w:sz w:val="23"/>
        </w:rPr>
        <w:t>Seminario de Grado</w:t>
      </w:r>
    </w:p>
    <w:p>
      <w:pPr>
        <w:spacing w:line="362" w:lineRule="auto" w:before="129"/>
        <w:ind w:left="1420" w:right="2641" w:firstLine="0"/>
        <w:jc w:val="center"/>
        <w:rPr>
          <w:rFonts w:ascii="Arial" w:hAnsi="Arial"/>
          <w:b/>
          <w:sz w:val="23"/>
        </w:rPr>
      </w:pPr>
      <w:r>
        <w:rPr>
          <w:rFonts w:ascii="Arial" w:hAnsi="Arial"/>
          <w:b/>
          <w:sz w:val="23"/>
        </w:rPr>
        <w:t>presentado en conformidad a los requisitos para obtener el Grado Académico de</w:t>
      </w:r>
    </w:p>
    <w:p>
      <w:pPr>
        <w:spacing w:line="357" w:lineRule="auto" w:before="0"/>
        <w:ind w:left="593" w:right="1816" w:firstLine="0"/>
        <w:jc w:val="center"/>
        <w:rPr>
          <w:rFonts w:ascii="Arial" w:hAnsi="Arial"/>
          <w:b/>
          <w:sz w:val="23"/>
        </w:rPr>
      </w:pPr>
      <w:r>
        <w:rPr>
          <w:rFonts w:ascii="Arial" w:hAnsi="Arial"/>
          <w:b/>
          <w:sz w:val="23"/>
        </w:rPr>
        <w:t>“Licenciado en Tecnología Médica con mención en morfopatología y citodiagnóstico”</w:t>
      </w: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spacing w:before="184"/>
        <w:ind w:left="2506" w:right="0" w:firstLine="0"/>
        <w:jc w:val="left"/>
        <w:rPr>
          <w:sz w:val="28"/>
        </w:rPr>
      </w:pPr>
      <w:r>
        <w:rPr>
          <w:sz w:val="28"/>
        </w:rPr>
        <w:t>Mario Ignacio Espinoza Gatica</w:t>
      </w:r>
    </w:p>
    <w:p>
      <w:pPr>
        <w:spacing w:line="362" w:lineRule="auto" w:before="162"/>
        <w:ind w:left="3692" w:right="1311" w:firstLine="436"/>
        <w:jc w:val="left"/>
        <w:rPr>
          <w:sz w:val="28"/>
        </w:rPr>
      </w:pPr>
      <w:r>
        <w:rPr>
          <w:b/>
          <w:sz w:val="28"/>
        </w:rPr>
        <w:t>Profesor Guía</w:t>
      </w:r>
      <w:r>
        <w:rPr>
          <w:sz w:val="28"/>
        </w:rPr>
        <w:t>: Mario Párraga San Román Julio de 2020</w:t>
      </w:r>
    </w:p>
    <w:p>
      <w:pPr>
        <w:spacing w:after="0" w:line="362" w:lineRule="auto"/>
        <w:jc w:val="left"/>
        <w:rPr>
          <w:sz w:val="28"/>
        </w:rPr>
        <w:sectPr>
          <w:type w:val="continuous"/>
          <w:pgSz w:w="12240" w:h="15840"/>
          <w:pgMar w:top="1200" w:bottom="280" w:left="1580" w:right="360"/>
        </w:sectPr>
      </w:pPr>
    </w:p>
    <w:p>
      <w:pPr>
        <w:pStyle w:val="BodyText"/>
        <w:spacing w:before="4"/>
        <w:rPr>
          <w:sz w:val="17"/>
        </w:rPr>
      </w:pPr>
    </w:p>
    <w:p>
      <w:pPr>
        <w:spacing w:after="0"/>
        <w:rPr>
          <w:sz w:val="17"/>
        </w:rPr>
        <w:sectPr>
          <w:pgSz w:w="12240" w:h="15840"/>
          <w:pgMar w:top="1500" w:bottom="280" w:left="1580" w:right="360"/>
        </w:sectPr>
      </w:pPr>
    </w:p>
    <w:p>
      <w:pPr>
        <w:pStyle w:val="BodyText"/>
        <w:rPr>
          <w:sz w:val="20"/>
        </w:rPr>
      </w:pPr>
    </w:p>
    <w:p>
      <w:pPr>
        <w:pStyle w:val="BodyText"/>
        <w:spacing w:before="3"/>
        <w:rPr>
          <w:sz w:val="21"/>
        </w:rPr>
      </w:pPr>
    </w:p>
    <w:p>
      <w:pPr>
        <w:spacing w:before="87"/>
        <w:ind w:left="119" w:right="0" w:firstLine="0"/>
        <w:jc w:val="left"/>
        <w:rPr>
          <w:b/>
          <w:sz w:val="28"/>
        </w:rPr>
      </w:pPr>
      <w:r>
        <w:rPr>
          <w:b/>
          <w:sz w:val="28"/>
        </w:rPr>
        <w:t>Agradecimientos</w:t>
      </w:r>
    </w:p>
    <w:p>
      <w:pPr>
        <w:pStyle w:val="BodyText"/>
        <w:rPr>
          <w:b/>
          <w:sz w:val="30"/>
        </w:rPr>
      </w:pPr>
    </w:p>
    <w:p>
      <w:pPr>
        <w:pStyle w:val="BodyText"/>
        <w:rPr>
          <w:b/>
          <w:sz w:val="30"/>
        </w:rPr>
      </w:pPr>
    </w:p>
    <w:p>
      <w:pPr>
        <w:pStyle w:val="BodyText"/>
        <w:spacing w:line="360" w:lineRule="auto" w:before="259"/>
        <w:ind w:left="119" w:right="1311" w:firstLine="302"/>
      </w:pPr>
      <w:r>
        <w:rPr/>
        <w:t>Los agradecimientos siempre son necesarios, primero porque nos hace apreciar las cosas y segundo porque nos hace ser más humildes.</w:t>
      </w:r>
    </w:p>
    <w:p>
      <w:pPr>
        <w:pStyle w:val="BodyText"/>
        <w:spacing w:line="362" w:lineRule="auto"/>
        <w:ind w:left="119" w:right="1311"/>
      </w:pPr>
      <w:r>
        <w:rPr/>
        <w:t>Agradecer a mis padres por confiar y permitirme poder estudiar una carrera profesional, de verdad jamás podré pagarles todo lo que han hecho por mí.</w:t>
      </w:r>
    </w:p>
    <w:p>
      <w:pPr>
        <w:pStyle w:val="BodyText"/>
        <w:spacing w:line="360" w:lineRule="auto"/>
        <w:ind w:left="119" w:right="1311" w:firstLine="245"/>
      </w:pPr>
      <w:r>
        <w:rPr/>
        <w:t>A mis amigos y familia los cuales siempre han tenido una palabra de aliento, un abrazo, un gesto y han escuchado con interés lo que tengo para contarles, a cada uno de ellos gracias.</w:t>
      </w:r>
    </w:p>
    <w:p>
      <w:pPr>
        <w:pStyle w:val="BodyText"/>
        <w:spacing w:line="360" w:lineRule="auto"/>
        <w:ind w:left="119" w:right="1367" w:firstLine="302"/>
      </w:pPr>
      <w:r>
        <w:rPr/>
        <w:t>A todos los integrantes de los laboratorios del R3, profesores y tesistas, todos han tenido algo para enseñarme y decirme, de verdad aprecio el tiempo que se tomaron cada uno para explicarme lo que fuera.</w:t>
      </w:r>
    </w:p>
    <w:p>
      <w:pPr>
        <w:pStyle w:val="BodyText"/>
        <w:spacing w:line="362" w:lineRule="auto"/>
        <w:ind w:left="119" w:right="1500" w:firstLine="245"/>
      </w:pPr>
      <w:r>
        <w:rPr/>
        <w:t>Agradecer de forma especial a Camila, Karina, Macarena, Gloria y Natalia, por darse el tiempo de ayudarme, de compartir y de aprender conmigo.</w:t>
      </w:r>
    </w:p>
    <w:p>
      <w:pPr>
        <w:pStyle w:val="BodyText"/>
        <w:spacing w:line="360" w:lineRule="auto"/>
        <w:ind w:left="119" w:right="1457" w:firstLine="302"/>
      </w:pPr>
      <w:r>
        <w:rPr/>
        <w:t>Por último, agradecer enormemente quien con su paciencia, entusiasmo y pasión me mostraron el mundo de la ciencia, el profesor Mario Párraga. Siempre motivando a todos a trabajar más duro y a estudiar más para así poder ser mejores.</w:t>
      </w:r>
    </w:p>
    <w:p>
      <w:pPr>
        <w:pStyle w:val="BodyText"/>
        <w:spacing w:before="5"/>
        <w:rPr>
          <w:sz w:val="27"/>
        </w:rPr>
      </w:pPr>
    </w:p>
    <w:p>
      <w:pPr>
        <w:pStyle w:val="BodyText"/>
        <w:spacing w:line="276" w:lineRule="auto" w:before="90"/>
        <w:ind w:left="119" w:right="1405"/>
      </w:pPr>
      <w:r>
        <w:rPr>
          <w:shd w:fill="FBFBFB" w:color="auto" w:val="clear"/>
        </w:rPr>
        <w:t>«La ciencia, muchacho, está hecha de errores, pero de errores útiles de cometer, pues poco</w:t>
      </w:r>
      <w:r>
        <w:rPr/>
        <w:t> </w:t>
      </w:r>
      <w:r>
        <w:rPr>
          <w:shd w:fill="FBFBFB" w:color="auto" w:val="clear"/>
        </w:rPr>
        <w:t>a poco, conducen a la verdad». Julio Verne.</w:t>
      </w:r>
    </w:p>
    <w:p>
      <w:pPr>
        <w:spacing w:after="0" w:line="276" w:lineRule="auto"/>
        <w:sectPr>
          <w:headerReference w:type="default" r:id="rId7"/>
          <w:pgSz w:w="12240" w:h="15840"/>
          <w:pgMar w:header="7" w:footer="0" w:top="1040" w:bottom="280" w:left="1580" w:right="360"/>
          <w:pgNumType w:start="1"/>
        </w:sectPr>
      </w:pPr>
    </w:p>
    <w:p>
      <w:pPr>
        <w:spacing w:before="82"/>
        <w:ind w:left="119" w:right="0" w:firstLine="0"/>
        <w:jc w:val="left"/>
        <w:rPr>
          <w:b/>
          <w:sz w:val="32"/>
        </w:rPr>
      </w:pPr>
      <w:r>
        <w:rPr>
          <w:b/>
          <w:sz w:val="32"/>
        </w:rPr>
        <w:t>Resumen</w:t>
      </w:r>
    </w:p>
    <w:p>
      <w:pPr>
        <w:pStyle w:val="BodyText"/>
        <w:spacing w:before="10"/>
        <w:rPr>
          <w:b/>
          <w:sz w:val="40"/>
        </w:rPr>
      </w:pPr>
    </w:p>
    <w:p>
      <w:pPr>
        <w:pStyle w:val="BodyText"/>
        <w:spacing w:line="360" w:lineRule="auto"/>
        <w:ind w:left="119" w:right="1333" w:firstLine="302"/>
        <w:jc w:val="both"/>
      </w:pPr>
      <w:r>
        <w:rPr>
          <w:i/>
        </w:rPr>
        <w:t>Rnf19a </w:t>
      </w:r>
      <w:r>
        <w:rPr/>
        <w:t>es un gen que codifica para una proteína ubiquitina ligasa E3, </w:t>
      </w:r>
      <w:r>
        <w:rPr>
          <w:spacing w:val="3"/>
        </w:rPr>
        <w:t>el </w:t>
      </w:r>
      <w:r>
        <w:rPr/>
        <w:t>cual fue</w:t>
      </w:r>
      <w:r>
        <w:rPr>
          <w:spacing w:val="-29"/>
        </w:rPr>
        <w:t> </w:t>
      </w:r>
      <w:r>
        <w:rPr/>
        <w:t>descrito por</w:t>
      </w:r>
      <w:r>
        <w:rPr>
          <w:spacing w:val="-9"/>
        </w:rPr>
        <w:t> </w:t>
      </w:r>
      <w:r>
        <w:rPr/>
        <w:t>primera</w:t>
      </w:r>
      <w:r>
        <w:rPr>
          <w:spacing w:val="-11"/>
        </w:rPr>
        <w:t> </w:t>
      </w:r>
      <w:r>
        <w:rPr/>
        <w:t>vez</w:t>
      </w:r>
      <w:r>
        <w:rPr>
          <w:spacing w:val="-16"/>
        </w:rPr>
        <w:t> </w:t>
      </w:r>
      <w:r>
        <w:rPr/>
        <w:t>en</w:t>
      </w:r>
      <w:r>
        <w:rPr>
          <w:spacing w:val="-10"/>
        </w:rPr>
        <w:t> </w:t>
      </w:r>
      <w:r>
        <w:rPr/>
        <w:t>espermatogénesis</w:t>
      </w:r>
      <w:r>
        <w:rPr>
          <w:spacing w:val="-11"/>
        </w:rPr>
        <w:t> </w:t>
      </w:r>
      <w:r>
        <w:rPr/>
        <w:t>de</w:t>
      </w:r>
      <w:r>
        <w:rPr>
          <w:spacing w:val="-12"/>
        </w:rPr>
        <w:t> </w:t>
      </w:r>
      <w:r>
        <w:rPr/>
        <w:t>ratón.</w:t>
      </w:r>
      <w:r>
        <w:rPr>
          <w:spacing w:val="-12"/>
        </w:rPr>
        <w:t> </w:t>
      </w:r>
      <w:r>
        <w:rPr/>
        <w:t>Este</w:t>
      </w:r>
      <w:r>
        <w:rPr>
          <w:spacing w:val="-15"/>
        </w:rPr>
        <w:t> </w:t>
      </w:r>
      <w:r>
        <w:rPr/>
        <w:t>se</w:t>
      </w:r>
      <w:r>
        <w:rPr>
          <w:spacing w:val="-12"/>
        </w:rPr>
        <w:t> </w:t>
      </w:r>
      <w:r>
        <w:rPr/>
        <w:t>encuentra</w:t>
      </w:r>
      <w:r>
        <w:rPr>
          <w:spacing w:val="-11"/>
        </w:rPr>
        <w:t> </w:t>
      </w:r>
      <w:r>
        <w:rPr/>
        <w:t>en</w:t>
      </w:r>
      <w:r>
        <w:rPr>
          <w:spacing w:val="-10"/>
        </w:rPr>
        <w:t> </w:t>
      </w:r>
      <w:r>
        <w:rPr/>
        <w:t>ubicado</w:t>
      </w:r>
      <w:r>
        <w:rPr>
          <w:spacing w:val="-15"/>
        </w:rPr>
        <w:t> </w:t>
      </w:r>
      <w:r>
        <w:rPr/>
        <w:t>en</w:t>
      </w:r>
      <w:r>
        <w:rPr>
          <w:spacing w:val="-10"/>
        </w:rPr>
        <w:t> </w:t>
      </w:r>
      <w:r>
        <w:rPr/>
        <w:t>el</w:t>
      </w:r>
      <w:r>
        <w:rPr>
          <w:spacing w:val="-14"/>
        </w:rPr>
        <w:t> </w:t>
      </w:r>
      <w:r>
        <w:rPr/>
        <w:t>cromosoma 15</w:t>
      </w:r>
      <w:r>
        <w:rPr>
          <w:spacing w:val="-4"/>
        </w:rPr>
        <w:t> </w:t>
      </w:r>
      <w:r>
        <w:rPr/>
        <w:t>de</w:t>
      </w:r>
      <w:r>
        <w:rPr>
          <w:spacing w:val="-5"/>
        </w:rPr>
        <w:t> </w:t>
      </w:r>
      <w:r>
        <w:rPr/>
        <w:t>ratón. Este</w:t>
      </w:r>
      <w:r>
        <w:rPr>
          <w:spacing w:val="-4"/>
        </w:rPr>
        <w:t> </w:t>
      </w:r>
      <w:r>
        <w:rPr/>
        <w:t>gen</w:t>
      </w:r>
      <w:r>
        <w:rPr>
          <w:spacing w:val="-4"/>
        </w:rPr>
        <w:t> </w:t>
      </w:r>
      <w:r>
        <w:rPr/>
        <w:t>posee</w:t>
      </w:r>
      <w:r>
        <w:rPr>
          <w:spacing w:val="-4"/>
        </w:rPr>
        <w:t> </w:t>
      </w:r>
      <w:r>
        <w:rPr/>
        <w:t>una</w:t>
      </w:r>
      <w:r>
        <w:rPr>
          <w:spacing w:val="-5"/>
        </w:rPr>
        <w:t> </w:t>
      </w:r>
      <w:r>
        <w:rPr/>
        <w:t>región</w:t>
      </w:r>
      <w:r>
        <w:rPr>
          <w:spacing w:val="-2"/>
        </w:rPr>
        <w:t> </w:t>
      </w:r>
      <w:r>
        <w:rPr/>
        <w:t>que</w:t>
      </w:r>
      <w:r>
        <w:rPr>
          <w:spacing w:val="-5"/>
        </w:rPr>
        <w:t> </w:t>
      </w:r>
      <w:r>
        <w:rPr/>
        <w:t>interactúa</w:t>
      </w:r>
      <w:r>
        <w:rPr>
          <w:spacing w:val="-3"/>
        </w:rPr>
        <w:t> </w:t>
      </w:r>
      <w:r>
        <w:rPr/>
        <w:t>con</w:t>
      </w:r>
      <w:r>
        <w:rPr>
          <w:spacing w:val="-4"/>
        </w:rPr>
        <w:t> </w:t>
      </w:r>
      <w:r>
        <w:rPr/>
        <w:t>microRNAs</w:t>
      </w:r>
      <w:r>
        <w:rPr>
          <w:spacing w:val="-6"/>
        </w:rPr>
        <w:t> </w:t>
      </w:r>
      <w:r>
        <w:rPr/>
        <w:t>que</w:t>
      </w:r>
      <w:r>
        <w:rPr>
          <w:spacing w:val="-4"/>
        </w:rPr>
        <w:t> </w:t>
      </w:r>
      <w:r>
        <w:rPr/>
        <w:t>se</w:t>
      </w:r>
      <w:r>
        <w:rPr>
          <w:spacing w:val="-5"/>
        </w:rPr>
        <w:t> </w:t>
      </w:r>
      <w:r>
        <w:rPr/>
        <w:t>ha</w:t>
      </w:r>
      <w:r>
        <w:rPr>
          <w:spacing w:val="-4"/>
        </w:rPr>
        <w:t> </w:t>
      </w:r>
      <w:r>
        <w:rPr/>
        <w:t>demostrado lo regulan de manera post-transcripcional. Además, se han encontrado tres secuencias homólogas en el cromosoma 9 que son pseudogenes, los cuales generan transcritos que presentan, como el gen parental, la región que interactúa con miRNAs. Estos transcritos de los pseudogenes se consideran RNAs largos no codificantes (lncRNAs). Esto nos hace suponer que podríamos hablar de una red de regulación tipo ceRNA. Para comprobar esto, es necesario alterar la expresión de alguno de los componentes (mRNA, miRNAs o lncRNAs). Una de las herramientas más eficientes para generar alteraciones de secuencias a nivel genómico y así poder llevar a cabo estos experimentos es el sistema de edición genómica CRISPR-Cas9. Con este sistema podemos eliminar regiones específicas del genoma y por ejemplo evitar la transcripción de </w:t>
      </w:r>
      <w:r>
        <w:rPr>
          <w:spacing w:val="-3"/>
        </w:rPr>
        <w:t>un </w:t>
      </w:r>
      <w:r>
        <w:rPr/>
        <w:t>gen si editamos secuencias de su región promotora.</w:t>
      </w:r>
    </w:p>
    <w:p>
      <w:pPr>
        <w:pStyle w:val="BodyText"/>
        <w:spacing w:line="360" w:lineRule="auto"/>
        <w:ind w:left="119" w:right="1332"/>
        <w:jc w:val="both"/>
      </w:pPr>
      <w:r>
        <w:rPr/>
        <w:t>En el presente trabajo, mediante la edición genómica dirigida usando el sistema CRISPR- Cas9, se han generado tres líneas celulares mutantes en las cuales se eliminaron promotores de los pseudogenes de </w:t>
      </w:r>
      <w:r>
        <w:rPr>
          <w:i/>
        </w:rPr>
        <w:t>Rnf19a</w:t>
      </w:r>
      <w:r>
        <w:rPr/>
        <w:t>. La finalidad de esta primera aproximación es abrir la posibilidad de estudiar la posible red de regulación ceRNA a la que está sometido el gen </w:t>
      </w:r>
      <w:r>
        <w:rPr>
          <w:i/>
        </w:rPr>
        <w:t>Rnf19a </w:t>
      </w:r>
      <w:r>
        <w:rPr/>
        <w:t>en donde su RNA mensajero, los miRNAS y los transcritos de sus pseudogenes son protagonistas.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8"/>
        <w:rPr>
          <w:sz w:val="29"/>
        </w:rPr>
      </w:pPr>
    </w:p>
    <w:p>
      <w:pPr>
        <w:spacing w:before="1"/>
        <w:ind w:left="119" w:right="0" w:firstLine="0"/>
        <w:jc w:val="left"/>
        <w:rPr>
          <w:sz w:val="28"/>
        </w:rPr>
      </w:pPr>
      <w:r>
        <w:rPr>
          <w:sz w:val="28"/>
        </w:rPr>
        <w:t>Palabras clave: Rnf19a, miRNAs, Pseudogenes, CRISPR</w:t>
      </w:r>
    </w:p>
    <w:p>
      <w:pPr>
        <w:spacing w:after="0"/>
        <w:jc w:val="left"/>
        <w:rPr>
          <w:sz w:val="28"/>
        </w:rPr>
        <w:sectPr>
          <w:pgSz w:w="12240" w:h="15840"/>
          <w:pgMar w:header="7" w:footer="0" w:top="1040" w:bottom="280" w:left="1580" w:right="360"/>
        </w:sectPr>
      </w:pPr>
    </w:p>
    <w:p>
      <w:pPr>
        <w:spacing w:before="82"/>
        <w:ind w:left="119" w:right="0" w:firstLine="0"/>
        <w:jc w:val="left"/>
        <w:rPr>
          <w:b/>
          <w:sz w:val="32"/>
        </w:rPr>
      </w:pPr>
      <w:r>
        <w:rPr>
          <w:b/>
          <w:sz w:val="32"/>
        </w:rPr>
        <w:t>Índice</w:t>
      </w:r>
    </w:p>
    <w:sdt>
      <w:sdtPr>
        <w:docPartObj>
          <w:docPartGallery w:val="Table of Contents"/>
          <w:docPartUnique/>
        </w:docPartObj>
      </w:sdtPr>
      <w:sdtEndPr/>
      <w:sdtContent>
        <w:p>
          <w:pPr>
            <w:pStyle w:val="TOC1"/>
            <w:tabs>
              <w:tab w:pos="9517" w:val="right" w:leader="dot"/>
            </w:tabs>
            <w:spacing w:before="499"/>
            <w:ind w:left="119" w:firstLine="0"/>
            <w:rPr>
              <w:b w:val="0"/>
            </w:rPr>
          </w:pPr>
          <w:hyperlink w:history="true" w:anchor="_TOC_250029">
            <w:r>
              <w:rPr/>
              <w:t>1.-Introducción</w:t>
              <w:tab/>
            </w:r>
            <w:r>
              <w:rPr>
                <w:b w:val="0"/>
              </w:rPr>
              <w:t>1</w:t>
            </w:r>
          </w:hyperlink>
        </w:p>
        <w:p>
          <w:pPr>
            <w:pStyle w:val="TOC1"/>
            <w:numPr>
              <w:ilvl w:val="1"/>
              <w:numId w:val="1"/>
            </w:numPr>
            <w:tabs>
              <w:tab w:pos="484" w:val="left" w:leader="none"/>
              <w:tab w:pos="9517" w:val="right" w:leader="dot"/>
            </w:tabs>
            <w:spacing w:line="240" w:lineRule="auto" w:before="41" w:after="0"/>
            <w:ind w:left="484" w:right="0" w:hanging="365"/>
            <w:jc w:val="left"/>
            <w:rPr>
              <w:b w:val="0"/>
            </w:rPr>
          </w:pPr>
          <w:hyperlink w:history="true" w:anchor="_TOC_250028">
            <w:r>
              <w:rPr/>
              <w:t>Espermatogénesis</w:t>
              <w:tab/>
            </w:r>
            <w:r>
              <w:rPr>
                <w:b w:val="0"/>
              </w:rPr>
              <w:t>1</w:t>
            </w:r>
          </w:hyperlink>
        </w:p>
        <w:p>
          <w:pPr>
            <w:pStyle w:val="TOC1"/>
            <w:numPr>
              <w:ilvl w:val="1"/>
              <w:numId w:val="1"/>
            </w:numPr>
            <w:tabs>
              <w:tab w:pos="484" w:val="left" w:leader="none"/>
              <w:tab w:pos="9517" w:val="right" w:leader="dot"/>
            </w:tabs>
            <w:spacing w:line="240" w:lineRule="auto" w:before="46" w:after="0"/>
            <w:ind w:left="484" w:right="0" w:hanging="365"/>
            <w:jc w:val="left"/>
            <w:rPr>
              <w:b w:val="0"/>
            </w:rPr>
          </w:pPr>
          <w:hyperlink w:history="true" w:anchor="_TOC_250027">
            <w:r>
              <w:rPr/>
              <w:t>Regulación Post-transcripcional mediada</w:t>
            </w:r>
            <w:r>
              <w:rPr>
                <w:spacing w:val="2"/>
              </w:rPr>
              <w:t> </w:t>
            </w:r>
            <w:r>
              <w:rPr/>
              <w:t>por</w:t>
            </w:r>
            <w:r>
              <w:rPr>
                <w:spacing w:val="1"/>
              </w:rPr>
              <w:t> </w:t>
            </w:r>
            <w:r>
              <w:rPr/>
              <w:t>RNAs</w:t>
              <w:tab/>
            </w:r>
            <w:r>
              <w:rPr>
                <w:b w:val="0"/>
              </w:rPr>
              <w:t>2</w:t>
            </w:r>
          </w:hyperlink>
        </w:p>
        <w:p>
          <w:pPr>
            <w:pStyle w:val="TOC1"/>
            <w:numPr>
              <w:ilvl w:val="2"/>
              <w:numId w:val="1"/>
            </w:numPr>
            <w:tabs>
              <w:tab w:pos="662" w:val="left" w:leader="none"/>
              <w:tab w:pos="9517" w:val="right" w:leader="dot"/>
            </w:tabs>
            <w:spacing w:line="240" w:lineRule="auto" w:before="41" w:after="0"/>
            <w:ind w:left="661" w:right="0" w:hanging="543"/>
            <w:jc w:val="left"/>
            <w:rPr>
              <w:b w:val="0"/>
            </w:rPr>
          </w:pPr>
          <w:hyperlink w:history="true" w:anchor="_TOC_250026">
            <w:r>
              <w:rPr/>
              <w:t>miRNAs</w:t>
              <w:tab/>
            </w:r>
            <w:r>
              <w:rPr>
                <w:b w:val="0"/>
              </w:rPr>
              <w:t>2</w:t>
            </w:r>
          </w:hyperlink>
        </w:p>
        <w:p>
          <w:pPr>
            <w:pStyle w:val="TOC1"/>
            <w:numPr>
              <w:ilvl w:val="2"/>
              <w:numId w:val="1"/>
            </w:numPr>
            <w:tabs>
              <w:tab w:pos="662" w:val="left" w:leader="none"/>
              <w:tab w:pos="9517" w:val="right" w:leader="dot"/>
            </w:tabs>
            <w:spacing w:line="240" w:lineRule="auto" w:before="41" w:after="0"/>
            <w:ind w:left="661" w:right="0" w:hanging="543"/>
            <w:jc w:val="left"/>
            <w:rPr>
              <w:b w:val="0"/>
            </w:rPr>
          </w:pPr>
          <w:hyperlink w:history="true" w:anchor="_TOC_250025">
            <w:r>
              <w:rPr/>
              <w:t>Transcritos</w:t>
            </w:r>
            <w:r>
              <w:rPr>
                <w:spacing w:val="-1"/>
              </w:rPr>
              <w:t> </w:t>
            </w:r>
            <w:r>
              <w:rPr/>
              <w:t>de</w:t>
            </w:r>
            <w:r>
              <w:rPr>
                <w:spacing w:val="1"/>
              </w:rPr>
              <w:t> </w:t>
            </w:r>
            <w:r>
              <w:rPr/>
              <w:t>pseudogenes</w:t>
              <w:tab/>
            </w:r>
            <w:r>
              <w:rPr>
                <w:b w:val="0"/>
              </w:rPr>
              <w:t>4</w:t>
            </w:r>
          </w:hyperlink>
        </w:p>
        <w:p>
          <w:pPr>
            <w:pStyle w:val="TOC1"/>
            <w:numPr>
              <w:ilvl w:val="1"/>
              <w:numId w:val="1"/>
            </w:numPr>
            <w:tabs>
              <w:tab w:pos="485" w:val="left" w:leader="none"/>
              <w:tab w:pos="9517" w:val="right" w:leader="dot"/>
            </w:tabs>
            <w:spacing w:line="240" w:lineRule="auto" w:before="40" w:after="0"/>
            <w:ind w:left="485" w:right="0" w:hanging="366"/>
            <w:jc w:val="left"/>
            <w:rPr>
              <w:b w:val="0"/>
            </w:rPr>
          </w:pPr>
          <w:hyperlink w:history="true" w:anchor="_TOC_250024">
            <w:r>
              <w:rPr>
                <w:i/>
              </w:rPr>
              <w:t>Rnf19a </w:t>
            </w:r>
            <w:r>
              <w:rPr/>
              <w:t>y su regulación mediada por miRNAs y transcritos</w:t>
            </w:r>
            <w:r>
              <w:rPr>
                <w:spacing w:val="-5"/>
              </w:rPr>
              <w:t> </w:t>
            </w:r>
            <w:r>
              <w:rPr/>
              <w:t>de pseudogenes</w:t>
              <w:tab/>
            </w:r>
            <w:r>
              <w:rPr>
                <w:b w:val="0"/>
              </w:rPr>
              <w:t>7</w:t>
            </w:r>
          </w:hyperlink>
        </w:p>
        <w:p>
          <w:pPr>
            <w:pStyle w:val="TOC1"/>
            <w:numPr>
              <w:ilvl w:val="1"/>
              <w:numId w:val="1"/>
            </w:numPr>
            <w:tabs>
              <w:tab w:pos="484" w:val="left" w:leader="none"/>
              <w:tab w:pos="9517" w:val="right" w:leader="dot"/>
            </w:tabs>
            <w:spacing w:line="240" w:lineRule="auto" w:before="42" w:after="0"/>
            <w:ind w:left="484" w:right="0" w:hanging="365"/>
            <w:jc w:val="left"/>
            <w:rPr>
              <w:b w:val="0"/>
            </w:rPr>
          </w:pPr>
          <w:hyperlink w:history="true" w:anchor="_TOC_250023">
            <w:r>
              <w:rPr/>
              <w:t>Edición genómica</w:t>
            </w:r>
            <w:r>
              <w:rPr>
                <w:spacing w:val="-6"/>
              </w:rPr>
              <w:t> </w:t>
            </w:r>
            <w:r>
              <w:rPr/>
              <w:t>mediante</w:t>
            </w:r>
            <w:r>
              <w:rPr>
                <w:spacing w:val="-4"/>
              </w:rPr>
              <w:t> </w:t>
            </w:r>
            <w:r>
              <w:rPr/>
              <w:t>CRISPR</w:t>
              <w:tab/>
            </w:r>
            <w:r>
              <w:rPr>
                <w:b w:val="0"/>
              </w:rPr>
              <w:t>9</w:t>
            </w:r>
          </w:hyperlink>
        </w:p>
        <w:p>
          <w:pPr>
            <w:pStyle w:val="TOC1"/>
            <w:tabs>
              <w:tab w:pos="9516" w:val="right" w:leader="dot"/>
            </w:tabs>
            <w:ind w:left="119" w:firstLine="0"/>
            <w:rPr>
              <w:b w:val="0"/>
            </w:rPr>
          </w:pPr>
          <w:hyperlink w:history="true" w:anchor="_TOC_250022">
            <w:r>
              <w:rPr/>
              <w:t>2.- Objetivo general de</w:t>
            </w:r>
            <w:r>
              <w:rPr>
                <w:spacing w:val="-2"/>
              </w:rPr>
              <w:t> </w:t>
            </w:r>
            <w:r>
              <w:rPr/>
              <w:t>la</w:t>
            </w:r>
            <w:r>
              <w:rPr>
                <w:spacing w:val="2"/>
              </w:rPr>
              <w:t> </w:t>
            </w:r>
            <w:r>
              <w:rPr/>
              <w:t>propuesta</w:t>
              <w:tab/>
            </w:r>
            <w:r>
              <w:rPr>
                <w:b w:val="0"/>
              </w:rPr>
              <w:t>11</w:t>
            </w:r>
          </w:hyperlink>
        </w:p>
        <w:p>
          <w:pPr>
            <w:pStyle w:val="TOC1"/>
            <w:tabs>
              <w:tab w:pos="9516" w:val="right" w:leader="dot"/>
            </w:tabs>
            <w:spacing w:before="40"/>
            <w:ind w:left="119" w:firstLine="0"/>
            <w:rPr>
              <w:b w:val="0"/>
            </w:rPr>
          </w:pPr>
          <w:hyperlink w:history="true" w:anchor="_TOC_250021">
            <w:r>
              <w:rPr/>
              <w:t>3.- Materiales</w:t>
            </w:r>
            <w:r>
              <w:rPr>
                <w:spacing w:val="3"/>
              </w:rPr>
              <w:t> </w:t>
            </w:r>
            <w:r>
              <w:rPr/>
              <w:t>y</w:t>
            </w:r>
            <w:r>
              <w:rPr>
                <w:spacing w:val="2"/>
              </w:rPr>
              <w:t> </w:t>
            </w:r>
            <w:r>
              <w:rPr/>
              <w:t>métodos</w:t>
              <w:tab/>
            </w:r>
            <w:r>
              <w:rPr>
                <w:b w:val="0"/>
              </w:rPr>
              <w:t>12</w:t>
            </w:r>
          </w:hyperlink>
        </w:p>
        <w:p>
          <w:pPr>
            <w:pStyle w:val="TOC1"/>
            <w:tabs>
              <w:tab w:pos="9516" w:val="right" w:leader="dot"/>
            </w:tabs>
            <w:ind w:left="119" w:firstLine="0"/>
            <w:rPr>
              <w:b w:val="0"/>
            </w:rPr>
          </w:pPr>
          <w:hyperlink w:history="true" w:anchor="_TOC_250020">
            <w:r>
              <w:rPr/>
              <w:t>3.1.-Metodología:</w:t>
              <w:tab/>
            </w:r>
            <w:r>
              <w:rPr>
                <w:b w:val="0"/>
              </w:rPr>
              <w:t>12</w:t>
            </w:r>
          </w:hyperlink>
        </w:p>
        <w:p>
          <w:pPr>
            <w:pStyle w:val="TOC1"/>
            <w:numPr>
              <w:ilvl w:val="2"/>
              <w:numId w:val="2"/>
            </w:numPr>
            <w:tabs>
              <w:tab w:pos="662" w:val="left" w:leader="none"/>
              <w:tab w:pos="9516" w:val="right" w:leader="dot"/>
            </w:tabs>
            <w:spacing w:line="240" w:lineRule="auto" w:before="46" w:after="0"/>
            <w:ind w:left="661" w:right="0" w:hanging="543"/>
            <w:jc w:val="left"/>
            <w:rPr>
              <w:b w:val="0"/>
            </w:rPr>
          </w:pPr>
          <w:hyperlink w:history="true" w:anchor="_TOC_250019">
            <w:r>
              <w:rPr/>
              <w:t>Líneas</w:t>
            </w:r>
            <w:r>
              <w:rPr>
                <w:spacing w:val="-1"/>
              </w:rPr>
              <w:t> </w:t>
            </w:r>
            <w:r>
              <w:rPr/>
              <w:t>celulares</w:t>
              <w:tab/>
            </w:r>
            <w:r>
              <w:rPr>
                <w:b w:val="0"/>
              </w:rPr>
              <w:t>12</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18">
            <w:r>
              <w:rPr/>
              <w:t>Cultivo</w:t>
            </w:r>
            <w:r>
              <w:rPr>
                <w:spacing w:val="-3"/>
              </w:rPr>
              <w:t> </w:t>
            </w:r>
            <w:r>
              <w:rPr/>
              <w:t>celular:</w:t>
              <w:tab/>
            </w:r>
            <w:r>
              <w:rPr>
                <w:b w:val="0"/>
              </w:rPr>
              <w:t>12</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17">
            <w:r>
              <w:rPr/>
              <w:t>Extracción</w:t>
            </w:r>
            <w:r>
              <w:rPr>
                <w:spacing w:val="1"/>
              </w:rPr>
              <w:t> </w:t>
            </w:r>
            <w:r>
              <w:rPr/>
              <w:t>de</w:t>
            </w:r>
            <w:r>
              <w:rPr>
                <w:spacing w:val="1"/>
              </w:rPr>
              <w:t> </w:t>
            </w:r>
            <w:r>
              <w:rPr/>
              <w:t>DNA:</w:t>
              <w:tab/>
            </w:r>
            <w:r>
              <w:rPr>
                <w:b w:val="0"/>
              </w:rPr>
              <w:t>12</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16">
            <w:r>
              <w:rPr/>
              <w:t>Reacción en cadena de la</w:t>
            </w:r>
            <w:r>
              <w:rPr>
                <w:spacing w:val="-2"/>
              </w:rPr>
              <w:t> </w:t>
            </w:r>
            <w:r>
              <w:rPr/>
              <w:t>polimerasa</w:t>
            </w:r>
            <w:r>
              <w:rPr>
                <w:spacing w:val="2"/>
              </w:rPr>
              <w:t> </w:t>
            </w:r>
            <w:r>
              <w:rPr/>
              <w:t>(PCR)</w:t>
              <w:tab/>
            </w:r>
            <w:r>
              <w:rPr>
                <w:b w:val="0"/>
              </w:rPr>
              <w:t>12</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15">
            <w:r>
              <w:rPr/>
              <w:t>Electroforesis</w:t>
            </w:r>
            <w:r>
              <w:rPr>
                <w:spacing w:val="-1"/>
              </w:rPr>
              <w:t> </w:t>
            </w:r>
            <w:r>
              <w:rPr/>
              <w:t>DNA.</w:t>
              <w:tab/>
            </w:r>
            <w:r>
              <w:rPr>
                <w:b w:val="0"/>
              </w:rPr>
              <w:t>13</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14">
            <w:r>
              <w:rPr/>
              <w:t>Diseño</w:t>
            </w:r>
            <w:r>
              <w:rPr>
                <w:spacing w:val="1"/>
              </w:rPr>
              <w:t> </w:t>
            </w:r>
            <w:r>
              <w:rPr/>
              <w:t>experimental</w:t>
              <w:tab/>
            </w:r>
            <w:r>
              <w:rPr>
                <w:b w:val="0"/>
              </w:rPr>
              <w:t>13</w:t>
            </w:r>
          </w:hyperlink>
        </w:p>
        <w:p>
          <w:pPr>
            <w:pStyle w:val="TOC1"/>
            <w:numPr>
              <w:ilvl w:val="2"/>
              <w:numId w:val="2"/>
            </w:numPr>
            <w:tabs>
              <w:tab w:pos="662" w:val="left" w:leader="none"/>
              <w:tab w:pos="9516" w:val="right" w:leader="dot"/>
            </w:tabs>
            <w:spacing w:line="240" w:lineRule="auto" w:before="40" w:after="0"/>
            <w:ind w:left="661" w:right="0" w:hanging="543"/>
            <w:jc w:val="left"/>
            <w:rPr>
              <w:b w:val="0"/>
            </w:rPr>
          </w:pPr>
          <w:hyperlink w:history="true" w:anchor="_TOC_250013">
            <w:r>
              <w:rPr/>
              <w:t>Edición</w:t>
            </w:r>
            <w:r>
              <w:rPr>
                <w:spacing w:val="3"/>
              </w:rPr>
              <w:t> </w:t>
            </w:r>
            <w:r>
              <w:rPr/>
              <w:t>genomica</w:t>
              <w:tab/>
            </w:r>
            <w:r>
              <w:rPr>
                <w:b w:val="0"/>
              </w:rPr>
              <w:t>14</w:t>
            </w:r>
          </w:hyperlink>
        </w:p>
        <w:p>
          <w:pPr>
            <w:pStyle w:val="TOC2"/>
            <w:numPr>
              <w:ilvl w:val="3"/>
              <w:numId w:val="2"/>
            </w:numPr>
            <w:tabs>
              <w:tab w:pos="844" w:val="left" w:leader="none"/>
              <w:tab w:pos="9516" w:val="right" w:leader="dot"/>
            </w:tabs>
            <w:spacing w:line="240" w:lineRule="auto" w:before="42" w:after="0"/>
            <w:ind w:left="843" w:right="0" w:hanging="725"/>
            <w:jc w:val="left"/>
            <w:rPr>
              <w:b w:val="0"/>
              <w:i w:val="0"/>
              <w:sz w:val="24"/>
            </w:rPr>
          </w:pPr>
          <w:r>
            <w:rPr>
              <w:i w:val="0"/>
              <w:sz w:val="24"/>
            </w:rPr>
            <w:t>Desarrollo </w:t>
          </w:r>
          <w:r>
            <w:rPr>
              <w:i/>
              <w:sz w:val="24"/>
            </w:rPr>
            <w:t>in silico </w:t>
          </w:r>
          <w:r>
            <w:rPr>
              <w:i w:val="0"/>
              <w:sz w:val="24"/>
            </w:rPr>
            <w:t>de la secuencia del</w:t>
          </w:r>
          <w:r>
            <w:rPr>
              <w:i w:val="0"/>
              <w:spacing w:val="3"/>
              <w:sz w:val="24"/>
            </w:rPr>
            <w:t> </w:t>
          </w:r>
          <w:r>
            <w:rPr>
              <w:i w:val="0"/>
              <w:sz w:val="24"/>
            </w:rPr>
            <w:t>RNA</w:t>
          </w:r>
          <w:r>
            <w:rPr>
              <w:i w:val="0"/>
              <w:spacing w:val="1"/>
              <w:sz w:val="24"/>
            </w:rPr>
            <w:t> </w:t>
          </w:r>
          <w:r>
            <w:rPr>
              <w:i w:val="0"/>
              <w:sz w:val="24"/>
            </w:rPr>
            <w:t>guía</w:t>
            <w:tab/>
          </w:r>
          <w:r>
            <w:rPr>
              <w:b w:val="0"/>
              <w:i w:val="0"/>
              <w:sz w:val="24"/>
            </w:rPr>
            <w:t>14</w:t>
          </w:r>
        </w:p>
        <w:p>
          <w:pPr>
            <w:pStyle w:val="TOC1"/>
            <w:numPr>
              <w:ilvl w:val="3"/>
              <w:numId w:val="2"/>
            </w:numPr>
            <w:tabs>
              <w:tab w:pos="844" w:val="left" w:leader="none"/>
              <w:tab w:pos="9517" w:val="right" w:leader="dot"/>
            </w:tabs>
            <w:spacing w:line="240" w:lineRule="auto" w:before="45" w:after="0"/>
            <w:ind w:left="843" w:right="0" w:hanging="725"/>
            <w:jc w:val="left"/>
            <w:rPr>
              <w:b w:val="0"/>
            </w:rPr>
          </w:pPr>
          <w:hyperlink w:history="true" w:anchor="_TOC_250012">
            <w:r>
              <w:rPr/>
              <w:t>Clonación en</w:t>
            </w:r>
            <w:r>
              <w:rPr>
                <w:spacing w:val="-5"/>
              </w:rPr>
              <w:t> </w:t>
            </w:r>
            <w:r>
              <w:rPr/>
              <w:t>plásmido</w:t>
            </w:r>
            <w:r>
              <w:rPr>
                <w:spacing w:val="-3"/>
              </w:rPr>
              <w:t> </w:t>
            </w:r>
            <w:r>
              <w:rPr/>
              <w:t>pespCas9-puro</w:t>
              <w:tab/>
            </w:r>
            <w:r>
              <w:rPr>
                <w:b w:val="0"/>
              </w:rPr>
              <w:t>15</w:t>
            </w:r>
          </w:hyperlink>
        </w:p>
        <w:p>
          <w:pPr>
            <w:pStyle w:val="TOC1"/>
            <w:numPr>
              <w:ilvl w:val="3"/>
              <w:numId w:val="2"/>
            </w:numPr>
            <w:tabs>
              <w:tab w:pos="844" w:val="left" w:leader="none"/>
              <w:tab w:pos="9517" w:val="right" w:leader="dot"/>
            </w:tabs>
            <w:spacing w:line="240" w:lineRule="auto" w:before="41" w:after="0"/>
            <w:ind w:left="843" w:right="0" w:hanging="725"/>
            <w:jc w:val="left"/>
            <w:rPr>
              <w:b w:val="0"/>
            </w:rPr>
          </w:pPr>
          <w:hyperlink w:history="true" w:anchor="_TOC_250011">
            <w:r>
              <w:rPr/>
              <w:t>Transfección de construcción Cas9-promotor</w:t>
            </w:r>
            <w:r>
              <w:rPr>
                <w:spacing w:val="1"/>
              </w:rPr>
              <w:t> </w:t>
            </w:r>
            <w:r>
              <w:rPr/>
              <w:t>pseudogenes</w:t>
              <w:tab/>
            </w:r>
            <w:r>
              <w:rPr>
                <w:b w:val="0"/>
              </w:rPr>
              <w:t>16</w:t>
            </w:r>
          </w:hyperlink>
        </w:p>
        <w:p>
          <w:pPr>
            <w:pStyle w:val="TOC1"/>
            <w:numPr>
              <w:ilvl w:val="3"/>
              <w:numId w:val="2"/>
            </w:numPr>
            <w:tabs>
              <w:tab w:pos="844" w:val="left" w:leader="none"/>
              <w:tab w:pos="9517" w:val="right" w:leader="dot"/>
            </w:tabs>
            <w:spacing w:line="240" w:lineRule="auto" w:before="41" w:after="0"/>
            <w:ind w:left="843" w:right="0" w:hanging="725"/>
            <w:jc w:val="left"/>
            <w:rPr>
              <w:b w:val="0"/>
            </w:rPr>
          </w:pPr>
          <w:hyperlink w:history="true" w:anchor="_TOC_250010">
            <w:r>
              <w:rPr/>
              <w:t>Selección a través de dilución límite de las</w:t>
            </w:r>
            <w:r>
              <w:rPr>
                <w:spacing w:val="-12"/>
              </w:rPr>
              <w:t> </w:t>
            </w:r>
            <w:r>
              <w:rPr/>
              <w:t>colonias editadas</w:t>
              <w:tab/>
            </w:r>
            <w:r>
              <w:rPr>
                <w:b w:val="0"/>
              </w:rPr>
              <w:t>17</w:t>
            </w:r>
          </w:hyperlink>
        </w:p>
        <w:p>
          <w:pPr>
            <w:pStyle w:val="TOC1"/>
            <w:numPr>
              <w:ilvl w:val="2"/>
              <w:numId w:val="2"/>
            </w:numPr>
            <w:tabs>
              <w:tab w:pos="662" w:val="left" w:leader="none"/>
              <w:tab w:pos="9516" w:val="right" w:leader="dot"/>
            </w:tabs>
            <w:spacing w:line="240" w:lineRule="auto" w:before="41" w:after="0"/>
            <w:ind w:left="661" w:right="0" w:hanging="543"/>
            <w:jc w:val="left"/>
            <w:rPr>
              <w:b w:val="0"/>
            </w:rPr>
          </w:pPr>
          <w:hyperlink w:history="true" w:anchor="_TOC_250009">
            <w:r>
              <w:rPr/>
              <w:t>Análisis de colonias para comprobar</w:t>
            </w:r>
            <w:r>
              <w:rPr>
                <w:spacing w:val="-7"/>
              </w:rPr>
              <w:t> </w:t>
            </w:r>
            <w:r>
              <w:rPr/>
              <w:t>deleción</w:t>
            </w:r>
            <w:r>
              <w:rPr>
                <w:spacing w:val="3"/>
              </w:rPr>
              <w:t> </w:t>
            </w:r>
            <w:r>
              <w:rPr/>
              <w:t>genómica</w:t>
              <w:tab/>
            </w:r>
            <w:r>
              <w:rPr>
                <w:b w:val="0"/>
              </w:rPr>
              <w:t>17</w:t>
            </w:r>
          </w:hyperlink>
        </w:p>
        <w:p>
          <w:pPr>
            <w:pStyle w:val="TOC1"/>
            <w:tabs>
              <w:tab w:pos="9516" w:val="right" w:leader="dot"/>
            </w:tabs>
            <w:ind w:left="119" w:firstLine="0"/>
            <w:rPr>
              <w:b w:val="0"/>
            </w:rPr>
          </w:pPr>
          <w:hyperlink w:history="true" w:anchor="_TOC_250008">
            <w:r>
              <w:rPr/>
              <w:t>3.2.-Materiales</w:t>
              <w:tab/>
            </w:r>
            <w:r>
              <w:rPr>
                <w:b w:val="0"/>
              </w:rPr>
              <w:t>18</w:t>
            </w:r>
          </w:hyperlink>
        </w:p>
        <w:p>
          <w:pPr>
            <w:pStyle w:val="TOC1"/>
            <w:tabs>
              <w:tab w:pos="9516" w:val="right" w:leader="dot"/>
            </w:tabs>
            <w:ind w:left="119" w:firstLine="0"/>
            <w:rPr>
              <w:b w:val="0"/>
            </w:rPr>
          </w:pPr>
          <w:hyperlink w:history="true" w:anchor="_TOC_250007">
            <w:r>
              <w:rPr/>
              <w:t>4.-</w:t>
            </w:r>
            <w:r>
              <w:rPr>
                <w:spacing w:val="3"/>
              </w:rPr>
              <w:t> </w:t>
            </w:r>
            <w:r>
              <w:rPr/>
              <w:t>Resultados</w:t>
              <w:tab/>
            </w:r>
            <w:r>
              <w:rPr>
                <w:b w:val="0"/>
              </w:rPr>
              <w:t>19</w:t>
            </w:r>
          </w:hyperlink>
        </w:p>
        <w:p>
          <w:pPr>
            <w:pStyle w:val="TOC2"/>
            <w:numPr>
              <w:ilvl w:val="1"/>
              <w:numId w:val="3"/>
            </w:numPr>
            <w:tabs>
              <w:tab w:pos="484" w:val="left" w:leader="none"/>
              <w:tab w:pos="9516" w:val="right" w:leader="dot"/>
            </w:tabs>
            <w:spacing w:line="240" w:lineRule="auto" w:before="41" w:after="0"/>
            <w:ind w:left="484" w:right="0" w:hanging="365"/>
            <w:jc w:val="left"/>
            <w:rPr>
              <w:b w:val="0"/>
              <w:i w:val="0"/>
              <w:sz w:val="24"/>
            </w:rPr>
          </w:pPr>
          <w:hyperlink w:history="true" w:anchor="_TOC_250006">
            <w:r>
              <w:rPr>
                <w:i w:val="0"/>
                <w:sz w:val="24"/>
              </w:rPr>
              <w:t>Desarrollo </w:t>
            </w:r>
            <w:r>
              <w:rPr>
                <w:i/>
                <w:sz w:val="24"/>
              </w:rPr>
              <w:t>in silico </w:t>
            </w:r>
            <w:r>
              <w:rPr>
                <w:i w:val="0"/>
                <w:sz w:val="24"/>
              </w:rPr>
              <w:t>de la secuencia del</w:t>
            </w:r>
            <w:r>
              <w:rPr>
                <w:i w:val="0"/>
                <w:spacing w:val="4"/>
                <w:sz w:val="24"/>
              </w:rPr>
              <w:t> </w:t>
            </w:r>
            <w:r>
              <w:rPr>
                <w:i w:val="0"/>
                <w:sz w:val="24"/>
              </w:rPr>
              <w:t>RNA</w:t>
            </w:r>
            <w:r>
              <w:rPr>
                <w:i w:val="0"/>
                <w:spacing w:val="-4"/>
                <w:sz w:val="24"/>
              </w:rPr>
              <w:t> </w:t>
            </w:r>
            <w:r>
              <w:rPr>
                <w:i w:val="0"/>
                <w:sz w:val="24"/>
              </w:rPr>
              <w:t>guía</w:t>
              <w:tab/>
            </w:r>
            <w:r>
              <w:rPr>
                <w:b w:val="0"/>
                <w:i w:val="0"/>
                <w:sz w:val="24"/>
              </w:rPr>
              <w:t>19</w:t>
            </w:r>
          </w:hyperlink>
        </w:p>
        <w:p>
          <w:pPr>
            <w:pStyle w:val="TOC1"/>
            <w:numPr>
              <w:ilvl w:val="1"/>
              <w:numId w:val="3"/>
            </w:numPr>
            <w:tabs>
              <w:tab w:pos="484" w:val="left" w:leader="none"/>
              <w:tab w:pos="9516" w:val="right" w:leader="dot"/>
            </w:tabs>
            <w:spacing w:line="240" w:lineRule="auto" w:before="40" w:after="0"/>
            <w:ind w:left="484" w:right="0" w:hanging="365"/>
            <w:jc w:val="left"/>
            <w:rPr>
              <w:b w:val="0"/>
            </w:rPr>
          </w:pPr>
          <w:hyperlink w:history="true" w:anchor="_TOC_250005">
            <w:r>
              <w:rPr/>
              <w:t>Transfección de construcción Cas9-promotor</w:t>
            </w:r>
            <w:r>
              <w:rPr>
                <w:spacing w:val="1"/>
              </w:rPr>
              <w:t> </w:t>
            </w:r>
            <w:r>
              <w:rPr/>
              <w:t>pseudogenes</w:t>
              <w:tab/>
            </w:r>
            <w:r>
              <w:rPr>
                <w:b w:val="0"/>
              </w:rPr>
              <w:t>21</w:t>
            </w:r>
          </w:hyperlink>
        </w:p>
        <w:p>
          <w:pPr>
            <w:pStyle w:val="TOC1"/>
            <w:numPr>
              <w:ilvl w:val="1"/>
              <w:numId w:val="3"/>
            </w:numPr>
            <w:tabs>
              <w:tab w:pos="484" w:val="left" w:leader="none"/>
              <w:tab w:pos="9516" w:val="right" w:leader="dot"/>
            </w:tabs>
            <w:spacing w:line="240" w:lineRule="auto" w:before="41" w:after="0"/>
            <w:ind w:left="484" w:right="0" w:hanging="365"/>
            <w:jc w:val="left"/>
            <w:rPr>
              <w:b w:val="0"/>
            </w:rPr>
          </w:pPr>
          <w:hyperlink w:history="true" w:anchor="_TOC_250004">
            <w:r>
              <w:rPr/>
              <w:t>Selección de colonias editadas a través de</w:t>
            </w:r>
            <w:r>
              <w:rPr>
                <w:spacing w:val="-4"/>
              </w:rPr>
              <w:t> </w:t>
            </w:r>
            <w:r>
              <w:rPr/>
              <w:t>dilución</w:t>
            </w:r>
            <w:r>
              <w:rPr>
                <w:spacing w:val="3"/>
              </w:rPr>
              <w:t> </w:t>
            </w:r>
            <w:r>
              <w:rPr/>
              <w:t>límite</w:t>
              <w:tab/>
            </w:r>
            <w:r>
              <w:rPr>
                <w:b w:val="0"/>
              </w:rPr>
              <w:t>22</w:t>
            </w:r>
          </w:hyperlink>
        </w:p>
        <w:p>
          <w:pPr>
            <w:pStyle w:val="TOC1"/>
            <w:numPr>
              <w:ilvl w:val="1"/>
              <w:numId w:val="3"/>
            </w:numPr>
            <w:tabs>
              <w:tab w:pos="484" w:val="left" w:leader="none"/>
              <w:tab w:pos="9516" w:val="right" w:leader="dot"/>
            </w:tabs>
            <w:spacing w:line="240" w:lineRule="auto" w:before="46" w:after="0"/>
            <w:ind w:left="484" w:right="0" w:hanging="365"/>
            <w:jc w:val="left"/>
            <w:rPr>
              <w:b w:val="0"/>
            </w:rPr>
          </w:pPr>
          <w:hyperlink w:history="true" w:anchor="_TOC_250003">
            <w:r>
              <w:rPr/>
              <w:t>Análisis de colonias para comprobar</w:t>
            </w:r>
            <w:r>
              <w:rPr>
                <w:spacing w:val="-3"/>
              </w:rPr>
              <w:t> </w:t>
            </w:r>
            <w:r>
              <w:rPr/>
              <w:t>deleción</w:t>
            </w:r>
            <w:r>
              <w:rPr>
                <w:spacing w:val="2"/>
              </w:rPr>
              <w:t> </w:t>
            </w:r>
            <w:r>
              <w:rPr/>
              <w:t>genómica:</w:t>
              <w:tab/>
            </w:r>
            <w:r>
              <w:rPr>
                <w:b w:val="0"/>
              </w:rPr>
              <w:t>23</w:t>
            </w:r>
          </w:hyperlink>
        </w:p>
        <w:p>
          <w:pPr>
            <w:pStyle w:val="TOC1"/>
            <w:tabs>
              <w:tab w:pos="9516" w:val="right" w:leader="dot"/>
            </w:tabs>
            <w:ind w:left="119" w:firstLine="0"/>
            <w:rPr>
              <w:b w:val="0"/>
            </w:rPr>
          </w:pPr>
          <w:hyperlink w:history="true" w:anchor="_TOC_250002">
            <w:r>
              <w:rPr/>
              <w:t>5.-</w:t>
            </w:r>
            <w:r>
              <w:rPr>
                <w:spacing w:val="3"/>
              </w:rPr>
              <w:t> </w:t>
            </w:r>
            <w:r>
              <w:rPr/>
              <w:t>Discusión</w:t>
              <w:tab/>
            </w:r>
            <w:r>
              <w:rPr>
                <w:b w:val="0"/>
              </w:rPr>
              <w:t>28</w:t>
            </w:r>
          </w:hyperlink>
        </w:p>
        <w:p>
          <w:pPr>
            <w:pStyle w:val="TOC1"/>
            <w:tabs>
              <w:tab w:pos="9516" w:val="right" w:leader="dot"/>
            </w:tabs>
            <w:ind w:left="119" w:firstLine="0"/>
            <w:rPr>
              <w:b w:val="0"/>
            </w:rPr>
          </w:pPr>
          <w:hyperlink w:history="true" w:anchor="_TOC_250001">
            <w:r>
              <w:rPr/>
              <w:t>6.-</w:t>
            </w:r>
            <w:r>
              <w:rPr>
                <w:spacing w:val="3"/>
              </w:rPr>
              <w:t> </w:t>
            </w:r>
            <w:r>
              <w:rPr/>
              <w:t>Conclusiones</w:t>
              <w:tab/>
            </w:r>
            <w:r>
              <w:rPr>
                <w:b w:val="0"/>
              </w:rPr>
              <w:t>32</w:t>
            </w:r>
          </w:hyperlink>
        </w:p>
        <w:p>
          <w:pPr>
            <w:pStyle w:val="TOC1"/>
            <w:tabs>
              <w:tab w:pos="9516" w:val="right" w:leader="dot"/>
            </w:tabs>
            <w:ind w:left="119" w:firstLine="0"/>
            <w:rPr>
              <w:b w:val="0"/>
            </w:rPr>
          </w:pPr>
          <w:hyperlink w:history="true" w:anchor="_TOC_250000">
            <w:r>
              <w:rPr/>
              <w:t>7.-Bibliografía</w:t>
              <w:tab/>
            </w:r>
            <w:r>
              <w:rPr>
                <w:b w:val="0"/>
              </w:rPr>
              <w:t>33</w:t>
            </w:r>
          </w:hyperlink>
        </w:p>
      </w:sdtContent>
    </w:sdt>
    <w:p>
      <w:pPr>
        <w:spacing w:after="0"/>
        <w:sectPr>
          <w:headerReference w:type="default" r:id="rId8"/>
          <w:pgSz w:w="12240" w:h="15840"/>
          <w:pgMar w:header="7" w:footer="0" w:top="1040" w:bottom="280" w:left="1580" w:right="360"/>
          <w:pgNumType w:start="3"/>
        </w:sectPr>
      </w:pPr>
    </w:p>
    <w:p>
      <w:pPr>
        <w:spacing w:before="82"/>
        <w:ind w:left="119" w:right="0" w:firstLine="0"/>
        <w:jc w:val="left"/>
        <w:rPr>
          <w:b/>
          <w:sz w:val="32"/>
        </w:rPr>
      </w:pPr>
      <w:r>
        <w:rPr>
          <w:b/>
          <w:sz w:val="32"/>
        </w:rPr>
        <w:t>Índice figuras y tablas</w:t>
      </w:r>
    </w:p>
    <w:p>
      <w:pPr>
        <w:tabs>
          <w:tab w:pos="9397" w:val="left" w:leader="dot"/>
        </w:tabs>
        <w:spacing w:before="182"/>
        <w:ind w:left="119" w:right="0" w:firstLine="0"/>
        <w:jc w:val="left"/>
        <w:rPr>
          <w:sz w:val="24"/>
        </w:rPr>
      </w:pPr>
      <w:r>
        <w:rPr>
          <w:sz w:val="24"/>
        </w:rPr>
        <w:t>Figura.1.1. </w:t>
      </w:r>
      <w:r>
        <w:rPr>
          <w:i/>
          <w:sz w:val="24"/>
        </w:rPr>
        <w:t>Biogénesis y función canónica de los miRNAs</w:t>
      </w:r>
      <w:r>
        <w:rPr>
          <w:i/>
          <w:spacing w:val="-8"/>
          <w:sz w:val="24"/>
        </w:rPr>
        <w:t> </w:t>
      </w:r>
      <w:r>
        <w:rPr>
          <w:i/>
          <w:sz w:val="24"/>
        </w:rPr>
        <w:t>en</w:t>
      </w:r>
      <w:r>
        <w:rPr>
          <w:i/>
          <w:spacing w:val="1"/>
          <w:sz w:val="24"/>
        </w:rPr>
        <w:t> </w:t>
      </w:r>
      <w:r>
        <w:rPr>
          <w:i/>
          <w:sz w:val="24"/>
        </w:rPr>
        <w:t>animales</w:t>
        <w:tab/>
      </w:r>
      <w:r>
        <w:rPr>
          <w:sz w:val="24"/>
        </w:rPr>
        <w:t>4</w:t>
      </w:r>
    </w:p>
    <w:p>
      <w:pPr>
        <w:tabs>
          <w:tab w:pos="9397" w:val="left" w:leader="dot"/>
        </w:tabs>
        <w:spacing w:before="137"/>
        <w:ind w:left="119" w:right="0" w:firstLine="0"/>
        <w:jc w:val="left"/>
        <w:rPr>
          <w:sz w:val="24"/>
        </w:rPr>
      </w:pPr>
      <w:r>
        <w:rPr>
          <w:sz w:val="24"/>
        </w:rPr>
        <w:t>Figura 1.2. </w:t>
      </w:r>
      <w:r>
        <w:rPr>
          <w:i/>
          <w:sz w:val="24"/>
        </w:rPr>
        <w:t>Tipos</w:t>
      </w:r>
      <w:r>
        <w:rPr>
          <w:i/>
          <w:spacing w:val="-2"/>
          <w:sz w:val="24"/>
        </w:rPr>
        <w:t> </w:t>
      </w:r>
      <w:r>
        <w:rPr>
          <w:i/>
          <w:sz w:val="24"/>
        </w:rPr>
        <w:t>de</w:t>
      </w:r>
      <w:r>
        <w:rPr>
          <w:i/>
          <w:spacing w:val="-1"/>
          <w:sz w:val="24"/>
        </w:rPr>
        <w:t> </w:t>
      </w:r>
      <w:r>
        <w:rPr>
          <w:i/>
          <w:sz w:val="24"/>
        </w:rPr>
        <w:t>pseudogenes</w:t>
        <w:tab/>
      </w:r>
      <w:r>
        <w:rPr>
          <w:sz w:val="24"/>
        </w:rPr>
        <w:t>5</w:t>
      </w:r>
    </w:p>
    <w:p>
      <w:pPr>
        <w:spacing w:before="142"/>
        <w:ind w:left="119" w:right="0" w:firstLine="0"/>
        <w:jc w:val="left"/>
        <w:rPr>
          <w:i/>
          <w:sz w:val="24"/>
        </w:rPr>
      </w:pPr>
      <w:r>
        <w:rPr>
          <w:sz w:val="24"/>
        </w:rPr>
        <w:t>Figura.1.</w:t>
      </w:r>
      <w:r>
        <w:rPr>
          <w:spacing w:val="-59"/>
          <w:sz w:val="24"/>
        </w:rPr>
        <w:t> </w:t>
      </w:r>
      <w:r>
        <w:rPr>
          <w:spacing w:val="-3"/>
          <w:sz w:val="24"/>
        </w:rPr>
        <w:t>3. </w:t>
      </w:r>
      <w:r>
        <w:rPr>
          <w:i/>
          <w:sz w:val="24"/>
        </w:rPr>
        <w:t>Esquema que representa las secuencias MRE que comparte Rnf19a con sus 3</w:t>
      </w:r>
    </w:p>
    <w:p>
      <w:pPr>
        <w:tabs>
          <w:tab w:pos="9397" w:val="left" w:leader="dot"/>
        </w:tabs>
        <w:spacing w:before="137"/>
        <w:ind w:left="340" w:right="0" w:firstLine="0"/>
        <w:jc w:val="left"/>
        <w:rPr>
          <w:sz w:val="24"/>
        </w:rPr>
      </w:pPr>
      <w:r>
        <w:rPr>
          <w:i/>
          <w:sz w:val="24"/>
        </w:rPr>
        <w:t>pseudogenes</w:t>
        <w:tab/>
      </w:r>
      <w:r>
        <w:rPr>
          <w:sz w:val="24"/>
        </w:rPr>
        <w:t>6</w:t>
      </w:r>
    </w:p>
    <w:p>
      <w:pPr>
        <w:tabs>
          <w:tab w:pos="9276" w:val="left" w:leader="dot"/>
        </w:tabs>
        <w:spacing w:line="360" w:lineRule="auto" w:before="137"/>
        <w:ind w:left="119" w:right="780" w:firstLine="0"/>
        <w:jc w:val="left"/>
        <w:rPr>
          <w:sz w:val="24"/>
        </w:rPr>
      </w:pPr>
      <w:r>
        <w:rPr>
          <w:sz w:val="24"/>
        </w:rPr>
        <w:t>Figura.1.4. </w:t>
      </w:r>
      <w:r>
        <w:rPr>
          <w:i/>
          <w:sz w:val="24"/>
        </w:rPr>
        <w:t>Comparación de similitud entre el gen codificante Rnf19a contra sus 3 pseudogenes.</w:t>
      </w:r>
      <w:r>
        <w:rPr>
          <w:sz w:val="24"/>
        </w:rPr>
        <w:t>7 Figura 1.5. </w:t>
      </w:r>
      <w:r>
        <w:rPr>
          <w:i/>
          <w:sz w:val="24"/>
        </w:rPr>
        <w:t>CRISPR-Cas9 cortando la doble</w:t>
      </w:r>
      <w:r>
        <w:rPr>
          <w:i/>
          <w:spacing w:val="-5"/>
          <w:sz w:val="24"/>
        </w:rPr>
        <w:t> </w:t>
      </w:r>
      <w:r>
        <w:rPr>
          <w:i/>
          <w:sz w:val="24"/>
        </w:rPr>
        <w:t>hebra objetivo</w:t>
        <w:tab/>
      </w:r>
      <w:r>
        <w:rPr>
          <w:spacing w:val="-8"/>
          <w:sz w:val="24"/>
        </w:rPr>
        <w:t>10</w:t>
      </w:r>
    </w:p>
    <w:p>
      <w:pPr>
        <w:tabs>
          <w:tab w:pos="9276" w:val="left" w:leader="dot"/>
        </w:tabs>
        <w:spacing w:before="3"/>
        <w:ind w:left="119" w:right="0" w:firstLine="0"/>
        <w:jc w:val="left"/>
        <w:rPr>
          <w:sz w:val="24"/>
        </w:rPr>
      </w:pPr>
      <w:r>
        <w:rPr>
          <w:sz w:val="24"/>
        </w:rPr>
        <w:t>Figura 3.1. </w:t>
      </w:r>
      <w:r>
        <w:rPr>
          <w:i/>
          <w:sz w:val="24"/>
        </w:rPr>
        <w:t>Representación del</w:t>
      </w:r>
      <w:r>
        <w:rPr>
          <w:i/>
          <w:spacing w:val="-3"/>
          <w:sz w:val="24"/>
        </w:rPr>
        <w:t> </w:t>
      </w:r>
      <w:r>
        <w:rPr>
          <w:i/>
          <w:sz w:val="24"/>
        </w:rPr>
        <w:t>plásmido</w:t>
      </w:r>
      <w:r>
        <w:rPr>
          <w:i/>
          <w:spacing w:val="-1"/>
          <w:sz w:val="24"/>
        </w:rPr>
        <w:t> </w:t>
      </w:r>
      <w:r>
        <w:rPr>
          <w:i/>
          <w:sz w:val="24"/>
        </w:rPr>
        <w:t>eSpCas9(1.1)-T2A</w:t>
        <w:tab/>
      </w:r>
      <w:r>
        <w:rPr>
          <w:sz w:val="24"/>
        </w:rPr>
        <w:t>14</w:t>
      </w:r>
    </w:p>
    <w:p>
      <w:pPr>
        <w:tabs>
          <w:tab w:pos="9276" w:val="left" w:leader="dot"/>
        </w:tabs>
        <w:spacing w:before="137"/>
        <w:ind w:left="119" w:right="0" w:firstLine="0"/>
        <w:jc w:val="left"/>
        <w:rPr>
          <w:sz w:val="24"/>
        </w:rPr>
      </w:pPr>
      <w:r>
        <w:rPr>
          <w:sz w:val="24"/>
        </w:rPr>
        <w:t>Figura.4.1. </w:t>
      </w:r>
      <w:r>
        <w:rPr>
          <w:i/>
          <w:sz w:val="24"/>
        </w:rPr>
        <w:t>Esquematización teórica del corte con</w:t>
      </w:r>
      <w:r>
        <w:rPr>
          <w:i/>
          <w:spacing w:val="-9"/>
          <w:sz w:val="24"/>
        </w:rPr>
        <w:t> </w:t>
      </w:r>
      <w:r>
        <w:rPr>
          <w:i/>
          <w:sz w:val="24"/>
        </w:rPr>
        <w:t>doble</w:t>
      </w:r>
      <w:r>
        <w:rPr>
          <w:i/>
          <w:spacing w:val="-1"/>
          <w:sz w:val="24"/>
        </w:rPr>
        <w:t> </w:t>
      </w:r>
      <w:r>
        <w:rPr>
          <w:i/>
          <w:sz w:val="24"/>
        </w:rPr>
        <w:t>CRISPR</w:t>
        <w:tab/>
      </w:r>
      <w:r>
        <w:rPr>
          <w:sz w:val="24"/>
        </w:rPr>
        <w:t>18</w:t>
      </w:r>
    </w:p>
    <w:p>
      <w:pPr>
        <w:tabs>
          <w:tab w:pos="9276" w:val="left" w:leader="dot"/>
        </w:tabs>
        <w:spacing w:before="136"/>
        <w:ind w:left="119" w:right="0" w:firstLine="0"/>
        <w:jc w:val="left"/>
        <w:rPr>
          <w:sz w:val="24"/>
        </w:rPr>
      </w:pPr>
      <w:r>
        <w:rPr>
          <w:sz w:val="24"/>
        </w:rPr>
        <w:t>Tabla 4.2</w:t>
      </w:r>
      <w:r>
        <w:rPr>
          <w:i/>
          <w:sz w:val="24"/>
        </w:rPr>
        <w:t>. Par de primers diseñados para cortar el promotor en el</w:t>
      </w:r>
      <w:r>
        <w:rPr>
          <w:i/>
          <w:spacing w:val="-8"/>
          <w:sz w:val="24"/>
        </w:rPr>
        <w:t> </w:t>
      </w:r>
      <w:r>
        <w:rPr>
          <w:i/>
          <w:sz w:val="24"/>
        </w:rPr>
        <w:t>Pseudogen 1</w:t>
        <w:tab/>
      </w:r>
      <w:r>
        <w:rPr>
          <w:sz w:val="24"/>
        </w:rPr>
        <w:t>19</w:t>
      </w:r>
    </w:p>
    <w:p>
      <w:pPr>
        <w:tabs>
          <w:tab w:pos="9276" w:val="left" w:leader="dot"/>
        </w:tabs>
        <w:spacing w:before="137"/>
        <w:ind w:left="119" w:right="0" w:firstLine="0"/>
        <w:jc w:val="left"/>
        <w:rPr>
          <w:sz w:val="24"/>
        </w:rPr>
      </w:pPr>
      <w:r>
        <w:rPr>
          <w:color w:val="202429"/>
          <w:sz w:val="24"/>
        </w:rPr>
        <w:t>Tabla  4.3</w:t>
      </w:r>
      <w:r>
        <w:rPr>
          <w:b/>
          <w:color w:val="202429"/>
          <w:sz w:val="24"/>
        </w:rPr>
        <w:t>. </w:t>
      </w:r>
      <w:r>
        <w:rPr>
          <w:i/>
          <w:sz w:val="24"/>
        </w:rPr>
        <w:t>Par de primers diseñados para cortar el promotor del</w:t>
      </w:r>
      <w:r>
        <w:rPr>
          <w:i/>
          <w:spacing w:val="-8"/>
          <w:sz w:val="24"/>
        </w:rPr>
        <w:t> </w:t>
      </w:r>
      <w:r>
        <w:rPr>
          <w:i/>
          <w:sz w:val="24"/>
        </w:rPr>
        <w:t>pseudogen</w:t>
      </w:r>
      <w:r>
        <w:rPr>
          <w:i/>
          <w:spacing w:val="1"/>
          <w:sz w:val="24"/>
        </w:rPr>
        <w:t> </w:t>
      </w:r>
      <w:r>
        <w:rPr>
          <w:i/>
          <w:sz w:val="24"/>
        </w:rPr>
        <w:t>2</w:t>
        <w:tab/>
      </w:r>
      <w:r>
        <w:rPr>
          <w:sz w:val="24"/>
        </w:rPr>
        <w:t>19</w:t>
      </w:r>
    </w:p>
    <w:p>
      <w:pPr>
        <w:tabs>
          <w:tab w:pos="9276" w:val="left" w:leader="dot"/>
        </w:tabs>
        <w:spacing w:before="142"/>
        <w:ind w:left="119" w:right="0" w:firstLine="0"/>
        <w:jc w:val="left"/>
        <w:rPr>
          <w:sz w:val="24"/>
        </w:rPr>
      </w:pPr>
      <w:r>
        <w:rPr>
          <w:sz w:val="24"/>
        </w:rPr>
        <w:t>Tabla 4.4. </w:t>
      </w:r>
      <w:r>
        <w:rPr>
          <w:i/>
          <w:sz w:val="24"/>
        </w:rPr>
        <w:t>Par de primers diseñados para cortar el promotor del</w:t>
      </w:r>
      <w:r>
        <w:rPr>
          <w:i/>
          <w:spacing w:val="-9"/>
          <w:sz w:val="24"/>
        </w:rPr>
        <w:t> </w:t>
      </w:r>
      <w:r>
        <w:rPr>
          <w:i/>
          <w:sz w:val="24"/>
        </w:rPr>
        <w:t>psuedogen 3.</w:t>
        <w:tab/>
      </w:r>
      <w:r>
        <w:rPr>
          <w:sz w:val="24"/>
        </w:rPr>
        <w:t>20</w:t>
      </w:r>
    </w:p>
    <w:p>
      <w:pPr>
        <w:pStyle w:val="BodyText"/>
        <w:tabs>
          <w:tab w:pos="9276" w:val="left" w:leader="dot"/>
        </w:tabs>
        <w:spacing w:before="137"/>
        <w:ind w:left="119"/>
      </w:pPr>
      <w:r>
        <w:rPr/>
        <w:t>Figura.4.5</w:t>
        <w:tab/>
        <w:t>20</w:t>
      </w:r>
    </w:p>
    <w:p>
      <w:pPr>
        <w:pStyle w:val="BodyText"/>
        <w:tabs>
          <w:tab w:pos="9276" w:val="left" w:leader="dot"/>
        </w:tabs>
        <w:spacing w:before="137"/>
        <w:ind w:left="119"/>
      </w:pPr>
      <w:r>
        <w:rPr/>
        <w:t>Figura.4.6</w:t>
        <w:tab/>
        <w:t>22</w:t>
      </w:r>
    </w:p>
    <w:p>
      <w:pPr>
        <w:tabs>
          <w:tab w:pos="9276" w:val="left" w:leader="dot"/>
        </w:tabs>
        <w:spacing w:before="137"/>
        <w:ind w:left="119" w:right="0" w:firstLine="0"/>
        <w:jc w:val="left"/>
        <w:rPr>
          <w:sz w:val="24"/>
        </w:rPr>
      </w:pPr>
      <w:r>
        <w:rPr>
          <w:sz w:val="24"/>
        </w:rPr>
        <w:t>Figura.4.7. </w:t>
      </w:r>
      <w:r>
        <w:rPr>
          <w:i/>
          <w:sz w:val="24"/>
        </w:rPr>
        <w:t>Corte por Cas9 y reparación del DNA</w:t>
      </w:r>
      <w:r>
        <w:rPr>
          <w:i/>
          <w:spacing w:val="-5"/>
          <w:sz w:val="24"/>
        </w:rPr>
        <w:t> </w:t>
      </w:r>
      <w:r>
        <w:rPr>
          <w:i/>
          <w:sz w:val="24"/>
        </w:rPr>
        <w:t>por</w:t>
      </w:r>
      <w:r>
        <w:rPr>
          <w:i/>
          <w:spacing w:val="-2"/>
          <w:sz w:val="24"/>
        </w:rPr>
        <w:t> </w:t>
      </w:r>
      <w:r>
        <w:rPr>
          <w:i/>
          <w:sz w:val="24"/>
        </w:rPr>
        <w:t>NHEJ</w:t>
        <w:tab/>
      </w:r>
      <w:r>
        <w:rPr>
          <w:sz w:val="24"/>
        </w:rPr>
        <w:t>23</w:t>
      </w:r>
    </w:p>
    <w:p>
      <w:pPr>
        <w:pStyle w:val="BodyText"/>
        <w:tabs>
          <w:tab w:pos="9276" w:val="left" w:leader="dot"/>
        </w:tabs>
        <w:spacing w:before="142"/>
        <w:ind w:left="119"/>
      </w:pPr>
      <w:r>
        <w:rPr>
          <w:color w:val="212121"/>
        </w:rPr>
        <w:t>Tabla</w:t>
      </w:r>
      <w:r>
        <w:rPr>
          <w:color w:val="212121"/>
          <w:spacing w:val="1"/>
        </w:rPr>
        <w:t> </w:t>
      </w:r>
      <w:r>
        <w:rPr>
          <w:color w:val="212121"/>
        </w:rPr>
        <w:t>4.8</w:t>
        <w:tab/>
      </w:r>
      <w:r>
        <w:rPr/>
        <w:t>23</w:t>
      </w:r>
    </w:p>
    <w:p>
      <w:pPr>
        <w:pStyle w:val="BodyText"/>
        <w:tabs>
          <w:tab w:pos="9276" w:val="left" w:leader="dot"/>
        </w:tabs>
        <w:spacing w:before="137"/>
        <w:ind w:left="119"/>
      </w:pPr>
      <w:r>
        <w:rPr>
          <w:color w:val="212121"/>
        </w:rPr>
        <w:t>Tabla</w:t>
      </w:r>
      <w:r>
        <w:rPr>
          <w:color w:val="212121"/>
          <w:spacing w:val="1"/>
        </w:rPr>
        <w:t> </w:t>
      </w:r>
      <w:r>
        <w:rPr>
          <w:color w:val="212121"/>
        </w:rPr>
        <w:t>4.9</w:t>
        <w:tab/>
      </w:r>
      <w:r>
        <w:rPr/>
        <w:t>24</w:t>
      </w:r>
    </w:p>
    <w:p>
      <w:pPr>
        <w:pStyle w:val="BodyText"/>
        <w:tabs>
          <w:tab w:pos="9276" w:val="left" w:leader="dot"/>
        </w:tabs>
        <w:spacing w:before="137"/>
        <w:ind w:left="119"/>
      </w:pPr>
      <w:r>
        <w:rPr>
          <w:color w:val="212121"/>
        </w:rPr>
        <w:t>Tabla</w:t>
      </w:r>
      <w:r>
        <w:rPr>
          <w:color w:val="212121"/>
          <w:spacing w:val="1"/>
        </w:rPr>
        <w:t> </w:t>
      </w:r>
      <w:r>
        <w:rPr>
          <w:color w:val="212121"/>
        </w:rPr>
        <w:t>4.10</w:t>
        <w:tab/>
      </w:r>
      <w:r>
        <w:rPr/>
        <w:t>24</w:t>
      </w:r>
    </w:p>
    <w:p>
      <w:pPr>
        <w:pStyle w:val="BodyText"/>
        <w:tabs>
          <w:tab w:pos="9276" w:val="left" w:leader="dot"/>
        </w:tabs>
        <w:spacing w:before="136"/>
        <w:ind w:left="119"/>
      </w:pPr>
      <w:r>
        <w:rPr/>
        <w:t>Figura.</w:t>
      </w:r>
      <w:r>
        <w:rPr>
          <w:spacing w:val="4"/>
        </w:rPr>
        <w:t> </w:t>
      </w:r>
      <w:r>
        <w:rPr/>
        <w:t>4.11.</w:t>
        <w:tab/>
        <w:t>25</w:t>
      </w:r>
    </w:p>
    <w:p>
      <w:pPr>
        <w:pStyle w:val="BodyText"/>
        <w:tabs>
          <w:tab w:pos="9276" w:val="left" w:leader="dot"/>
        </w:tabs>
        <w:spacing w:before="142"/>
        <w:ind w:left="119"/>
      </w:pPr>
      <w:r>
        <w:rPr/>
        <w:t>Figura</w:t>
      </w:r>
      <w:r>
        <w:rPr>
          <w:spacing w:val="2"/>
        </w:rPr>
        <w:t> </w:t>
      </w:r>
      <w:r>
        <w:rPr/>
        <w:t>4.12</w:t>
        <w:tab/>
        <w:t>26</w:t>
      </w:r>
    </w:p>
    <w:p>
      <w:pPr>
        <w:spacing w:after="0"/>
        <w:sectPr>
          <w:pgSz w:w="12240" w:h="15840"/>
          <w:pgMar w:header="7" w:footer="0" w:top="1040" w:bottom="280" w:left="1580" w:right="360"/>
        </w:sectPr>
      </w:pPr>
    </w:p>
    <w:p>
      <w:pPr>
        <w:pStyle w:val="Heading1"/>
      </w:pPr>
      <w:bookmarkStart w:name="_TOC_250029" w:id="1"/>
      <w:bookmarkEnd w:id="1"/>
      <w:r>
        <w:rPr/>
        <w:t>1.-Introducción:</w:t>
      </w:r>
    </w:p>
    <w:p>
      <w:pPr>
        <w:pStyle w:val="BodyText"/>
        <w:spacing w:before="1"/>
        <w:rPr>
          <w:b/>
          <w:sz w:val="37"/>
        </w:rPr>
      </w:pPr>
    </w:p>
    <w:p>
      <w:pPr>
        <w:pStyle w:val="BodyText"/>
        <w:spacing w:line="360" w:lineRule="auto"/>
        <w:ind w:left="119" w:right="1332" w:firstLine="302"/>
        <w:jc w:val="both"/>
      </w:pPr>
      <w:r>
        <w:rPr/>
        <w:t>Las células de los mamíferos se pueden dividir en dos grandes tipos según su función hereditaria en el organismo: las células somáticas y las células germinales. Las primeras se encargan de conformar al individuo en sí y las segundas tienen la delicada función de transmitir</w:t>
      </w:r>
      <w:r>
        <w:rPr>
          <w:spacing w:val="-9"/>
        </w:rPr>
        <w:t> </w:t>
      </w:r>
      <w:r>
        <w:rPr/>
        <w:t>la</w:t>
      </w:r>
      <w:r>
        <w:rPr>
          <w:spacing w:val="-5"/>
        </w:rPr>
        <w:t> </w:t>
      </w:r>
      <w:r>
        <w:rPr/>
        <w:t>carga</w:t>
      </w:r>
      <w:r>
        <w:rPr>
          <w:spacing w:val="-11"/>
        </w:rPr>
        <w:t> </w:t>
      </w:r>
      <w:r>
        <w:rPr/>
        <w:t>genética</w:t>
      </w:r>
      <w:r>
        <w:rPr>
          <w:spacing w:val="-7"/>
        </w:rPr>
        <w:t> </w:t>
      </w:r>
      <w:r>
        <w:rPr/>
        <w:t>a</w:t>
      </w:r>
      <w:r>
        <w:rPr>
          <w:spacing w:val="-6"/>
        </w:rPr>
        <w:t> </w:t>
      </w:r>
      <w:r>
        <w:rPr/>
        <w:t>su</w:t>
      </w:r>
      <w:r>
        <w:rPr>
          <w:spacing w:val="-10"/>
        </w:rPr>
        <w:t> </w:t>
      </w:r>
      <w:r>
        <w:rPr/>
        <w:t>descendencia.</w:t>
      </w:r>
      <w:r>
        <w:rPr>
          <w:spacing w:val="-4"/>
        </w:rPr>
        <w:t> </w:t>
      </w:r>
      <w:r>
        <w:rPr/>
        <w:t>Tanto</w:t>
      </w:r>
      <w:r>
        <w:rPr>
          <w:spacing w:val="-5"/>
        </w:rPr>
        <w:t> </w:t>
      </w:r>
      <w:r>
        <w:rPr/>
        <w:t>el</w:t>
      </w:r>
      <w:r>
        <w:rPr>
          <w:spacing w:val="-9"/>
        </w:rPr>
        <w:t> </w:t>
      </w:r>
      <w:r>
        <w:rPr/>
        <w:t>macho</w:t>
      </w:r>
      <w:r>
        <w:rPr>
          <w:spacing w:val="-6"/>
        </w:rPr>
        <w:t> </w:t>
      </w:r>
      <w:r>
        <w:rPr/>
        <w:t>como</w:t>
      </w:r>
      <w:r>
        <w:rPr>
          <w:spacing w:val="-9"/>
        </w:rPr>
        <w:t> </w:t>
      </w:r>
      <w:r>
        <w:rPr/>
        <w:t>la</w:t>
      </w:r>
      <w:r>
        <w:rPr>
          <w:spacing w:val="-5"/>
        </w:rPr>
        <w:t> </w:t>
      </w:r>
      <w:r>
        <w:rPr/>
        <w:t>hembra</w:t>
      </w:r>
      <w:r>
        <w:rPr>
          <w:spacing w:val="-7"/>
        </w:rPr>
        <w:t> </w:t>
      </w:r>
      <w:r>
        <w:rPr/>
        <w:t>llevan</w:t>
      </w:r>
      <w:r>
        <w:rPr>
          <w:spacing w:val="-10"/>
        </w:rPr>
        <w:t> </w:t>
      </w:r>
      <w:r>
        <w:rPr/>
        <w:t>a</w:t>
      </w:r>
      <w:r>
        <w:rPr>
          <w:spacing w:val="-6"/>
        </w:rPr>
        <w:t> </w:t>
      </w:r>
      <w:r>
        <w:rPr/>
        <w:t>cabo procesos de formación de células germinales como son la espermatogénesis y la oogénesis, los</w:t>
      </w:r>
      <w:r>
        <w:rPr>
          <w:spacing w:val="-7"/>
        </w:rPr>
        <w:t> </w:t>
      </w:r>
      <w:r>
        <w:rPr/>
        <w:t>cuales</w:t>
      </w:r>
      <w:r>
        <w:rPr>
          <w:spacing w:val="-7"/>
        </w:rPr>
        <w:t> </w:t>
      </w:r>
      <w:r>
        <w:rPr/>
        <w:t>ocurren</w:t>
      </w:r>
      <w:r>
        <w:rPr>
          <w:spacing w:val="-5"/>
        </w:rPr>
        <w:t> </w:t>
      </w:r>
      <w:r>
        <w:rPr/>
        <w:t>al</w:t>
      </w:r>
      <w:r>
        <w:rPr>
          <w:spacing w:val="-8"/>
        </w:rPr>
        <w:t> </w:t>
      </w:r>
      <w:r>
        <w:rPr/>
        <w:t>interior</w:t>
      </w:r>
      <w:r>
        <w:rPr>
          <w:spacing w:val="-2"/>
        </w:rPr>
        <w:t> </w:t>
      </w:r>
      <w:r>
        <w:rPr/>
        <w:t>de</w:t>
      </w:r>
      <w:r>
        <w:rPr>
          <w:spacing w:val="-11"/>
        </w:rPr>
        <w:t> </w:t>
      </w:r>
      <w:r>
        <w:rPr/>
        <w:t>los</w:t>
      </w:r>
      <w:r>
        <w:rPr>
          <w:spacing w:val="-6"/>
        </w:rPr>
        <w:t> </w:t>
      </w:r>
      <w:r>
        <w:rPr/>
        <w:t>testículos</w:t>
      </w:r>
      <w:r>
        <w:rPr>
          <w:spacing w:val="-6"/>
        </w:rPr>
        <w:t> </w:t>
      </w:r>
      <w:r>
        <w:rPr/>
        <w:t>y</w:t>
      </w:r>
      <w:r>
        <w:rPr>
          <w:spacing w:val="-10"/>
        </w:rPr>
        <w:t> </w:t>
      </w:r>
      <w:r>
        <w:rPr/>
        <w:t>de</w:t>
      </w:r>
      <w:r>
        <w:rPr>
          <w:spacing w:val="-5"/>
        </w:rPr>
        <w:t> </w:t>
      </w:r>
      <w:r>
        <w:rPr/>
        <w:t>los</w:t>
      </w:r>
      <w:r>
        <w:rPr>
          <w:spacing w:val="-6"/>
        </w:rPr>
        <w:t> </w:t>
      </w:r>
      <w:r>
        <w:rPr/>
        <w:t>ovarios</w:t>
      </w:r>
      <w:r>
        <w:rPr>
          <w:spacing w:val="-7"/>
        </w:rPr>
        <w:t> </w:t>
      </w:r>
      <w:r>
        <w:rPr/>
        <w:t>respectivamente</w:t>
      </w:r>
      <w:r>
        <w:rPr>
          <w:spacing w:val="-5"/>
        </w:rPr>
        <w:t> </w:t>
      </w:r>
      <w:r>
        <w:rPr/>
        <w:t>(Nishimura</w:t>
      </w:r>
      <w:r>
        <w:rPr>
          <w:spacing w:val="-10"/>
        </w:rPr>
        <w:t> </w:t>
      </w:r>
      <w:r>
        <w:rPr/>
        <w:t>&amp; L’Hernault,</w:t>
      </w:r>
      <w:r>
        <w:rPr>
          <w:spacing w:val="3"/>
        </w:rPr>
        <w:t> </w:t>
      </w:r>
      <w:r>
        <w:rPr/>
        <w:t>2017).</w:t>
      </w:r>
    </w:p>
    <w:p>
      <w:pPr>
        <w:pStyle w:val="BodyText"/>
        <w:spacing w:before="5"/>
        <w:rPr>
          <w:sz w:val="35"/>
        </w:rPr>
      </w:pPr>
    </w:p>
    <w:p>
      <w:pPr>
        <w:pStyle w:val="ListParagraph"/>
        <w:numPr>
          <w:ilvl w:val="1"/>
          <w:numId w:val="4"/>
        </w:numPr>
        <w:tabs>
          <w:tab w:pos="542" w:val="left" w:leader="none"/>
        </w:tabs>
        <w:spacing w:line="240" w:lineRule="auto" w:before="0" w:after="0"/>
        <w:ind w:left="541" w:right="0" w:hanging="423"/>
        <w:jc w:val="left"/>
        <w:rPr>
          <w:b/>
          <w:sz w:val="28"/>
        </w:rPr>
      </w:pPr>
      <w:bookmarkStart w:name="_TOC_250028" w:id="2"/>
      <w:bookmarkEnd w:id="2"/>
      <w:r>
        <w:rPr>
          <w:b/>
          <w:sz w:val="28"/>
        </w:rPr>
        <w:t>Espermatogénesis</w:t>
      </w:r>
    </w:p>
    <w:p>
      <w:pPr>
        <w:pStyle w:val="BodyText"/>
        <w:rPr>
          <w:b/>
          <w:sz w:val="30"/>
        </w:rPr>
      </w:pPr>
    </w:p>
    <w:p>
      <w:pPr>
        <w:pStyle w:val="BodyText"/>
        <w:spacing w:before="8"/>
        <w:rPr>
          <w:b/>
          <w:sz w:val="26"/>
        </w:rPr>
      </w:pPr>
    </w:p>
    <w:p>
      <w:pPr>
        <w:pStyle w:val="BodyText"/>
        <w:spacing w:line="360" w:lineRule="auto"/>
        <w:ind w:left="119" w:right="1335" w:firstLine="302"/>
        <w:jc w:val="both"/>
      </w:pPr>
      <w:r>
        <w:rPr/>
        <w:t>En la espermatogénesis suceden una serie de eventos que buscan transformar a las espermatogonias</w:t>
      </w:r>
      <w:r>
        <w:rPr>
          <w:spacing w:val="-8"/>
        </w:rPr>
        <w:t> </w:t>
      </w:r>
      <w:r>
        <w:rPr/>
        <w:t>en</w:t>
      </w:r>
      <w:r>
        <w:rPr>
          <w:spacing w:val="-4"/>
        </w:rPr>
        <w:t> </w:t>
      </w:r>
      <w:r>
        <w:rPr/>
        <w:t>células</w:t>
      </w:r>
      <w:r>
        <w:rPr>
          <w:spacing w:val="-7"/>
        </w:rPr>
        <w:t> </w:t>
      </w:r>
      <w:r>
        <w:rPr/>
        <w:t>altamente</w:t>
      </w:r>
      <w:r>
        <w:rPr>
          <w:spacing w:val="-4"/>
        </w:rPr>
        <w:t> </w:t>
      </w:r>
      <w:r>
        <w:rPr/>
        <w:t>especializadas.</w:t>
      </w:r>
      <w:r>
        <w:rPr>
          <w:spacing w:val="-3"/>
        </w:rPr>
        <w:t> </w:t>
      </w:r>
      <w:r>
        <w:rPr/>
        <w:t>El</w:t>
      </w:r>
      <w:r>
        <w:rPr>
          <w:spacing w:val="-3"/>
        </w:rPr>
        <w:t> </w:t>
      </w:r>
      <w:r>
        <w:rPr/>
        <w:t>espermatozoide</w:t>
      </w:r>
      <w:r>
        <w:rPr>
          <w:spacing w:val="-5"/>
        </w:rPr>
        <w:t> </w:t>
      </w:r>
      <w:r>
        <w:rPr/>
        <w:t>maduro</w:t>
      </w:r>
      <w:r>
        <w:rPr>
          <w:spacing w:val="-4"/>
        </w:rPr>
        <w:t> </w:t>
      </w:r>
      <w:r>
        <w:rPr/>
        <w:t>es</w:t>
      </w:r>
      <w:r>
        <w:rPr>
          <w:spacing w:val="-7"/>
        </w:rPr>
        <w:t> </w:t>
      </w:r>
      <w:r>
        <w:rPr/>
        <w:t>la</w:t>
      </w:r>
      <w:r>
        <w:rPr>
          <w:spacing w:val="-4"/>
        </w:rPr>
        <w:t> </w:t>
      </w:r>
      <w:r>
        <w:rPr/>
        <w:t>célula producto de la fase final de esta transformación que ocurre al interior del testículo (Hale, 1996).</w:t>
      </w:r>
    </w:p>
    <w:p>
      <w:pPr>
        <w:pStyle w:val="BodyText"/>
        <w:spacing w:line="360" w:lineRule="auto"/>
        <w:ind w:left="119" w:right="1333" w:firstLine="365"/>
        <w:jc w:val="both"/>
        <w:rPr>
          <w:sz w:val="16"/>
        </w:rPr>
      </w:pPr>
      <w:r>
        <w:rPr/>
        <w:t>Para la formación del espermatozoide, al interior del testículo ocurren tres etapas en </w:t>
      </w:r>
      <w:r>
        <w:rPr>
          <w:spacing w:val="3"/>
        </w:rPr>
        <w:t>las </w:t>
      </w:r>
      <w:r>
        <w:rPr/>
        <w:t>cuales la maquinaria celular realiza cambios tanto a nivel molecular como celular. Estas etapas</w:t>
      </w:r>
      <w:r>
        <w:rPr>
          <w:spacing w:val="-17"/>
        </w:rPr>
        <w:t> </w:t>
      </w:r>
      <w:r>
        <w:rPr/>
        <w:t>se</w:t>
      </w:r>
      <w:r>
        <w:rPr>
          <w:spacing w:val="-14"/>
        </w:rPr>
        <w:t> </w:t>
      </w:r>
      <w:r>
        <w:rPr/>
        <w:t>dividen</w:t>
      </w:r>
      <w:r>
        <w:rPr>
          <w:spacing w:val="-14"/>
        </w:rPr>
        <w:t> </w:t>
      </w:r>
      <w:r>
        <w:rPr/>
        <w:t>en:</w:t>
      </w:r>
      <w:r>
        <w:rPr>
          <w:spacing w:val="-13"/>
        </w:rPr>
        <w:t> </w:t>
      </w:r>
      <w:r>
        <w:rPr/>
        <w:t>la</w:t>
      </w:r>
      <w:r>
        <w:rPr>
          <w:spacing w:val="-15"/>
        </w:rPr>
        <w:t> </w:t>
      </w:r>
      <w:r>
        <w:rPr/>
        <w:t>fase</w:t>
      </w:r>
      <w:r>
        <w:rPr>
          <w:spacing w:val="-14"/>
        </w:rPr>
        <w:t> </w:t>
      </w:r>
      <w:r>
        <w:rPr/>
        <w:t>proliferativa</w:t>
      </w:r>
      <w:r>
        <w:rPr>
          <w:spacing w:val="-14"/>
        </w:rPr>
        <w:t> </w:t>
      </w:r>
      <w:r>
        <w:rPr/>
        <w:t>o</w:t>
      </w:r>
      <w:r>
        <w:rPr>
          <w:spacing w:val="-14"/>
        </w:rPr>
        <w:t> </w:t>
      </w:r>
      <w:r>
        <w:rPr/>
        <w:t>mitótica</w:t>
      </w:r>
      <w:r>
        <w:rPr>
          <w:spacing w:val="-10"/>
        </w:rPr>
        <w:t> </w:t>
      </w:r>
      <w:r>
        <w:rPr/>
        <w:t>donde</w:t>
      </w:r>
      <w:r>
        <w:rPr>
          <w:spacing w:val="-15"/>
        </w:rPr>
        <w:t> </w:t>
      </w:r>
      <w:r>
        <w:rPr/>
        <w:t>las</w:t>
      </w:r>
      <w:r>
        <w:rPr>
          <w:spacing w:val="-16"/>
        </w:rPr>
        <w:t> </w:t>
      </w:r>
      <w:r>
        <w:rPr/>
        <w:t>espermatogonias</w:t>
      </w:r>
      <w:r>
        <w:rPr>
          <w:spacing w:val="-12"/>
        </w:rPr>
        <w:t> </w:t>
      </w:r>
      <w:r>
        <w:rPr/>
        <w:t>se</w:t>
      </w:r>
      <w:r>
        <w:rPr>
          <w:spacing w:val="-14"/>
        </w:rPr>
        <w:t> </w:t>
      </w:r>
      <w:r>
        <w:rPr/>
        <w:t>multiplican y reciben la señal de comenzar a diferenciarse. Continúa la fase meiótica, en la cual ocurren dos divisiones celulares seguidas sin replicación del DNA. En la primera de las divisiones ocurre el “crossing over” o recombinación genética y en la segunda división se forman las espermátidas,</w:t>
      </w:r>
      <w:r>
        <w:rPr>
          <w:spacing w:val="-4"/>
        </w:rPr>
        <w:t> </w:t>
      </w:r>
      <w:r>
        <w:rPr/>
        <w:t>células</w:t>
      </w:r>
      <w:r>
        <w:rPr>
          <w:spacing w:val="-8"/>
        </w:rPr>
        <w:t> </w:t>
      </w:r>
      <w:r>
        <w:rPr/>
        <w:t>ya</w:t>
      </w:r>
      <w:r>
        <w:rPr>
          <w:spacing w:val="-7"/>
        </w:rPr>
        <w:t> </w:t>
      </w:r>
      <w:r>
        <w:rPr/>
        <w:t>haploides,</w:t>
      </w:r>
      <w:r>
        <w:rPr>
          <w:spacing w:val="-7"/>
        </w:rPr>
        <w:t> </w:t>
      </w:r>
      <w:r>
        <w:rPr/>
        <w:t>que</w:t>
      </w:r>
      <w:r>
        <w:rPr>
          <w:spacing w:val="-12"/>
        </w:rPr>
        <w:t> </w:t>
      </w:r>
      <w:r>
        <w:rPr/>
        <w:t>dan</w:t>
      </w:r>
      <w:r>
        <w:rPr>
          <w:spacing w:val="-6"/>
        </w:rPr>
        <w:t> </w:t>
      </w:r>
      <w:r>
        <w:rPr/>
        <w:t>paso</w:t>
      </w:r>
      <w:r>
        <w:rPr>
          <w:spacing w:val="-6"/>
        </w:rPr>
        <w:t> </w:t>
      </w:r>
      <w:r>
        <w:rPr/>
        <w:t>a</w:t>
      </w:r>
      <w:r>
        <w:rPr>
          <w:spacing w:val="-12"/>
        </w:rPr>
        <w:t> </w:t>
      </w:r>
      <w:r>
        <w:rPr/>
        <w:t>la</w:t>
      </w:r>
      <w:r>
        <w:rPr>
          <w:spacing w:val="-5"/>
        </w:rPr>
        <w:t> </w:t>
      </w:r>
      <w:r>
        <w:rPr/>
        <w:t>última</w:t>
      </w:r>
      <w:r>
        <w:rPr>
          <w:spacing w:val="-12"/>
        </w:rPr>
        <w:t> </w:t>
      </w:r>
      <w:r>
        <w:rPr/>
        <w:t>fase.</w:t>
      </w:r>
      <w:r>
        <w:rPr>
          <w:spacing w:val="-8"/>
        </w:rPr>
        <w:t> </w:t>
      </w:r>
      <w:r>
        <w:rPr/>
        <w:t>Esta</w:t>
      </w:r>
      <w:r>
        <w:rPr>
          <w:spacing w:val="-10"/>
        </w:rPr>
        <w:t> </w:t>
      </w:r>
      <w:r>
        <w:rPr/>
        <w:t>es</w:t>
      </w:r>
      <w:r>
        <w:rPr>
          <w:spacing w:val="-8"/>
        </w:rPr>
        <w:t> </w:t>
      </w:r>
      <w:r>
        <w:rPr/>
        <w:t>la</w:t>
      </w:r>
      <w:r>
        <w:rPr>
          <w:spacing w:val="-10"/>
        </w:rPr>
        <w:t> </w:t>
      </w:r>
      <w:r>
        <w:rPr/>
        <w:t>espermiogénesis, que se caracteriza por ser la etapa donde la espermátida a través de cambios estructurales, genéticos y morfológicos termina convirtiéndose en espermatozoide (Faraone Mennella, 2011;</w:t>
      </w:r>
      <w:r>
        <w:rPr>
          <w:spacing w:val="-15"/>
        </w:rPr>
        <w:t> </w:t>
      </w:r>
      <w:r>
        <w:rPr/>
        <w:t>Nishimura</w:t>
      </w:r>
      <w:r>
        <w:rPr>
          <w:spacing w:val="-15"/>
        </w:rPr>
        <w:t> </w:t>
      </w:r>
      <w:r>
        <w:rPr/>
        <w:t>&amp;</w:t>
      </w:r>
      <w:r>
        <w:rPr>
          <w:spacing w:val="-14"/>
        </w:rPr>
        <w:t> </w:t>
      </w:r>
      <w:r>
        <w:rPr/>
        <w:t>L’Hernault,</w:t>
      </w:r>
      <w:r>
        <w:rPr>
          <w:spacing w:val="-13"/>
        </w:rPr>
        <w:t> </w:t>
      </w:r>
      <w:r>
        <w:rPr/>
        <w:t>2017).</w:t>
      </w:r>
      <w:r>
        <w:rPr>
          <w:spacing w:val="-17"/>
        </w:rPr>
        <w:t> </w:t>
      </w:r>
      <w:r>
        <w:rPr/>
        <w:t>Este</w:t>
      </w:r>
      <w:r>
        <w:rPr>
          <w:spacing w:val="-15"/>
        </w:rPr>
        <w:t> </w:t>
      </w:r>
      <w:r>
        <w:rPr/>
        <w:t>complejo</w:t>
      </w:r>
      <w:r>
        <w:rPr>
          <w:spacing w:val="-14"/>
        </w:rPr>
        <w:t> </w:t>
      </w:r>
      <w:r>
        <w:rPr/>
        <w:t>proceso</w:t>
      </w:r>
      <w:r>
        <w:rPr>
          <w:spacing w:val="-14"/>
        </w:rPr>
        <w:t> </w:t>
      </w:r>
      <w:r>
        <w:rPr/>
        <w:t>de</w:t>
      </w:r>
      <w:r>
        <w:rPr>
          <w:spacing w:val="-16"/>
        </w:rPr>
        <w:t> </w:t>
      </w:r>
      <w:r>
        <w:rPr/>
        <w:t>diferenciación</w:t>
      </w:r>
      <w:r>
        <w:rPr>
          <w:spacing w:val="-14"/>
        </w:rPr>
        <w:t> </w:t>
      </w:r>
      <w:r>
        <w:rPr/>
        <w:t>terminal</w:t>
      </w:r>
      <w:r>
        <w:rPr>
          <w:spacing w:val="-14"/>
        </w:rPr>
        <w:t> </w:t>
      </w:r>
      <w:r>
        <w:rPr/>
        <w:t>está controlado a diferentes niveles por estrictos programas de regulación siendo uno de los más relevantes el mecanismo de regulación post-transcripcional mediado por RNAs no codificantes (ncRNA). Se ha demostrado su importante papel en la regulación génica de la espermatogénesis, tanto a nivel transcripcional como post transcripcional (de Mateo &amp; Sassone-Corsi,</w:t>
      </w:r>
      <w:r>
        <w:rPr>
          <w:spacing w:val="3"/>
        </w:rPr>
        <w:t> </w:t>
      </w:r>
      <w:r>
        <w:rPr/>
        <w:t>2014)</w:t>
      </w:r>
      <w:r>
        <w:rPr>
          <w:position w:val="9"/>
          <w:sz w:val="16"/>
        </w:rPr>
        <w:t>.</w:t>
      </w:r>
    </w:p>
    <w:p>
      <w:pPr>
        <w:spacing w:after="0" w:line="360" w:lineRule="auto"/>
        <w:jc w:val="both"/>
        <w:rPr>
          <w:sz w:val="16"/>
        </w:rPr>
        <w:sectPr>
          <w:headerReference w:type="default" r:id="rId9"/>
          <w:pgSz w:w="12240" w:h="15840"/>
          <w:pgMar w:header="7" w:footer="0" w:top="1040" w:bottom="280" w:left="1580" w:right="360"/>
          <w:pgNumType w:start="1"/>
        </w:sectPr>
      </w:pPr>
    </w:p>
    <w:p>
      <w:pPr>
        <w:pStyle w:val="ListParagraph"/>
        <w:numPr>
          <w:ilvl w:val="1"/>
          <w:numId w:val="4"/>
        </w:numPr>
        <w:tabs>
          <w:tab w:pos="542" w:val="left" w:leader="none"/>
        </w:tabs>
        <w:spacing w:line="240" w:lineRule="auto" w:before="76" w:after="0"/>
        <w:ind w:left="541" w:right="0" w:hanging="423"/>
        <w:jc w:val="left"/>
        <w:rPr>
          <w:b/>
          <w:sz w:val="28"/>
        </w:rPr>
      </w:pPr>
      <w:bookmarkStart w:name="_TOC_250027" w:id="3"/>
      <w:r>
        <w:rPr>
          <w:b/>
          <w:sz w:val="28"/>
        </w:rPr>
        <w:t>Regulación Post-transcripcional mediada por</w:t>
      </w:r>
      <w:r>
        <w:rPr>
          <w:b/>
          <w:spacing w:val="1"/>
          <w:sz w:val="28"/>
        </w:rPr>
        <w:t> </w:t>
      </w:r>
      <w:bookmarkEnd w:id="3"/>
      <w:r>
        <w:rPr>
          <w:b/>
          <w:sz w:val="28"/>
        </w:rPr>
        <w:t>RNAs.</w:t>
      </w:r>
    </w:p>
    <w:p>
      <w:pPr>
        <w:pStyle w:val="BodyText"/>
        <w:rPr>
          <w:b/>
          <w:sz w:val="30"/>
        </w:rPr>
      </w:pPr>
    </w:p>
    <w:p>
      <w:pPr>
        <w:pStyle w:val="BodyText"/>
        <w:spacing w:before="3"/>
        <w:rPr>
          <w:b/>
          <w:sz w:val="26"/>
        </w:rPr>
      </w:pPr>
    </w:p>
    <w:p>
      <w:pPr>
        <w:pStyle w:val="BodyText"/>
        <w:spacing w:line="360" w:lineRule="auto"/>
        <w:ind w:left="119" w:right="1337" w:firstLine="302"/>
        <w:jc w:val="both"/>
      </w:pPr>
      <w:r>
        <w:rPr/>
        <w:t>Dentro de la línea germinal se expresan una gran cantidad de RNAs no codificantes que actúan en distintos mecanismos como en el procesamiento de RNA mensajero (snRNP), en la síntesis de proteínas (tRNA y RNA ribosomal), y en la maduración del rRNA (snoRNA). Dentro</w:t>
      </w:r>
      <w:r>
        <w:rPr>
          <w:spacing w:val="-5"/>
        </w:rPr>
        <w:t> </w:t>
      </w:r>
      <w:r>
        <w:rPr/>
        <w:t>de</w:t>
      </w:r>
      <w:r>
        <w:rPr>
          <w:spacing w:val="-11"/>
        </w:rPr>
        <w:t> </w:t>
      </w:r>
      <w:r>
        <w:rPr/>
        <w:t>los</w:t>
      </w:r>
      <w:r>
        <w:rPr>
          <w:spacing w:val="-7"/>
        </w:rPr>
        <w:t> </w:t>
      </w:r>
      <w:r>
        <w:rPr/>
        <w:t>RNAs</w:t>
      </w:r>
      <w:r>
        <w:rPr>
          <w:spacing w:val="-7"/>
        </w:rPr>
        <w:t> </w:t>
      </w:r>
      <w:r>
        <w:rPr/>
        <w:t>no</w:t>
      </w:r>
      <w:r>
        <w:rPr>
          <w:spacing w:val="-4"/>
        </w:rPr>
        <w:t> </w:t>
      </w:r>
      <w:r>
        <w:rPr/>
        <w:t>codificantes</w:t>
      </w:r>
      <w:r>
        <w:rPr>
          <w:spacing w:val="-8"/>
        </w:rPr>
        <w:t> </w:t>
      </w:r>
      <w:r>
        <w:rPr/>
        <w:t>encontramos</w:t>
      </w:r>
      <w:r>
        <w:rPr>
          <w:spacing w:val="-7"/>
        </w:rPr>
        <w:t> </w:t>
      </w:r>
      <w:r>
        <w:rPr/>
        <w:t>los</w:t>
      </w:r>
      <w:r>
        <w:rPr>
          <w:spacing w:val="-7"/>
        </w:rPr>
        <w:t> </w:t>
      </w:r>
      <w:r>
        <w:rPr/>
        <w:t>largos</w:t>
      </w:r>
      <w:r>
        <w:rPr>
          <w:spacing w:val="-6"/>
        </w:rPr>
        <w:t> </w:t>
      </w:r>
      <w:r>
        <w:rPr/>
        <w:t>y</w:t>
      </w:r>
      <w:r>
        <w:rPr>
          <w:spacing w:val="-10"/>
        </w:rPr>
        <w:t> </w:t>
      </w:r>
      <w:r>
        <w:rPr/>
        <w:t>los</w:t>
      </w:r>
      <w:r>
        <w:rPr>
          <w:spacing w:val="-7"/>
        </w:rPr>
        <w:t> </w:t>
      </w:r>
      <w:r>
        <w:rPr/>
        <w:t>cortos</w:t>
      </w:r>
      <w:r>
        <w:rPr>
          <w:spacing w:val="-11"/>
        </w:rPr>
        <w:t> </w:t>
      </w:r>
      <w:r>
        <w:rPr/>
        <w:t>(lncRNA</w:t>
      </w:r>
      <w:r>
        <w:rPr>
          <w:spacing w:val="-5"/>
        </w:rPr>
        <w:t> </w:t>
      </w:r>
      <w:r>
        <w:rPr/>
        <w:t>y</w:t>
      </w:r>
      <w:r>
        <w:rPr>
          <w:spacing w:val="-10"/>
        </w:rPr>
        <w:t> </w:t>
      </w:r>
      <w:r>
        <w:rPr/>
        <w:t>sncRNA respectivamente). Los sncRNA constituyen una clase bien caracterizada de ncRNA con tamaños</w:t>
      </w:r>
      <w:r>
        <w:rPr>
          <w:spacing w:val="-12"/>
        </w:rPr>
        <w:t> </w:t>
      </w:r>
      <w:r>
        <w:rPr/>
        <w:t>inferiores</w:t>
      </w:r>
      <w:r>
        <w:rPr>
          <w:spacing w:val="-12"/>
        </w:rPr>
        <w:t> </w:t>
      </w:r>
      <w:r>
        <w:rPr/>
        <w:t>a</w:t>
      </w:r>
      <w:r>
        <w:rPr>
          <w:spacing w:val="-15"/>
        </w:rPr>
        <w:t> </w:t>
      </w:r>
      <w:r>
        <w:rPr/>
        <w:t>200</w:t>
      </w:r>
      <w:r>
        <w:rPr>
          <w:spacing w:val="-10"/>
        </w:rPr>
        <w:t> </w:t>
      </w:r>
      <w:r>
        <w:rPr/>
        <w:t>bases</w:t>
      </w:r>
      <w:r>
        <w:rPr>
          <w:spacing w:val="-11"/>
        </w:rPr>
        <w:t> </w:t>
      </w:r>
      <w:r>
        <w:rPr/>
        <w:t>y</w:t>
      </w:r>
      <w:r>
        <w:rPr>
          <w:spacing w:val="-10"/>
        </w:rPr>
        <w:t> </w:t>
      </w:r>
      <w:r>
        <w:rPr/>
        <w:t>se</w:t>
      </w:r>
      <w:r>
        <w:rPr>
          <w:spacing w:val="-11"/>
        </w:rPr>
        <w:t> </w:t>
      </w:r>
      <w:r>
        <w:rPr/>
        <w:t>dividen</w:t>
      </w:r>
      <w:r>
        <w:rPr>
          <w:spacing w:val="-14"/>
        </w:rPr>
        <w:t> </w:t>
      </w:r>
      <w:r>
        <w:rPr/>
        <w:t>en:</w:t>
      </w:r>
      <w:r>
        <w:rPr>
          <w:spacing w:val="-6"/>
        </w:rPr>
        <w:t> </w:t>
      </w:r>
      <w:r>
        <w:rPr/>
        <w:t>RNAs</w:t>
      </w:r>
      <w:r>
        <w:rPr>
          <w:spacing w:val="-12"/>
        </w:rPr>
        <w:t> </w:t>
      </w:r>
      <w:r>
        <w:rPr/>
        <w:t>interferentes</w:t>
      </w:r>
      <w:r>
        <w:rPr>
          <w:spacing w:val="-12"/>
        </w:rPr>
        <w:t> </w:t>
      </w:r>
      <w:r>
        <w:rPr/>
        <w:t>pequeños</w:t>
      </w:r>
      <w:r>
        <w:rPr>
          <w:spacing w:val="-11"/>
        </w:rPr>
        <w:t> </w:t>
      </w:r>
      <w:r>
        <w:rPr/>
        <w:t>(siRNA),</w:t>
      </w:r>
      <w:r>
        <w:rPr>
          <w:spacing w:val="-12"/>
        </w:rPr>
        <w:t> </w:t>
      </w:r>
      <w:r>
        <w:rPr/>
        <w:t>micro RNAs (miRNA), RNAs circulares (circRNAs), RNAs pequeños derivados de tRNA (tsRNA), y la línea germinal enriquecida de piwi que interactúa con RNA (piRNA) (Fabbri et al., 2019; Saxe &amp; Lin,</w:t>
      </w:r>
      <w:r>
        <w:rPr>
          <w:spacing w:val="2"/>
        </w:rPr>
        <w:t> </w:t>
      </w:r>
      <w:r>
        <w:rPr/>
        <w:t>2011).</w:t>
      </w:r>
    </w:p>
    <w:p>
      <w:pPr>
        <w:pStyle w:val="BodyText"/>
        <w:spacing w:line="360" w:lineRule="auto" w:before="6"/>
        <w:ind w:left="119" w:right="1337" w:firstLine="1133"/>
        <w:jc w:val="both"/>
      </w:pPr>
      <w:r>
        <w:rPr/>
        <w:t>Además, están los lncRNAs entre los cuales destacan los transcritos de pseudogenes. Los lncRNA son un grupo de RNAs no codificantes que miden más de 200 nucleótidos.</w:t>
      </w:r>
      <w:r>
        <w:rPr>
          <w:spacing w:val="-7"/>
        </w:rPr>
        <w:t> </w:t>
      </w:r>
      <w:r>
        <w:rPr/>
        <w:t>Estos</w:t>
      </w:r>
      <w:r>
        <w:rPr>
          <w:spacing w:val="-10"/>
        </w:rPr>
        <w:t> </w:t>
      </w:r>
      <w:r>
        <w:rPr/>
        <w:t>participan</w:t>
      </w:r>
      <w:r>
        <w:rPr>
          <w:spacing w:val="-9"/>
        </w:rPr>
        <w:t> </w:t>
      </w:r>
      <w:r>
        <w:rPr/>
        <w:t>en</w:t>
      </w:r>
      <w:r>
        <w:rPr>
          <w:spacing w:val="-9"/>
        </w:rPr>
        <w:t> </w:t>
      </w:r>
      <w:r>
        <w:rPr/>
        <w:t>la</w:t>
      </w:r>
      <w:r>
        <w:rPr>
          <w:spacing w:val="-9"/>
        </w:rPr>
        <w:t> </w:t>
      </w:r>
      <w:r>
        <w:rPr/>
        <w:t>regulación</w:t>
      </w:r>
      <w:r>
        <w:rPr>
          <w:spacing w:val="-8"/>
        </w:rPr>
        <w:t> </w:t>
      </w:r>
      <w:r>
        <w:rPr/>
        <w:t>de</w:t>
      </w:r>
      <w:r>
        <w:rPr>
          <w:spacing w:val="-10"/>
        </w:rPr>
        <w:t> </w:t>
      </w:r>
      <w:r>
        <w:rPr/>
        <w:t>la</w:t>
      </w:r>
      <w:r>
        <w:rPr>
          <w:spacing w:val="-14"/>
        </w:rPr>
        <w:t> </w:t>
      </w:r>
      <w:r>
        <w:rPr/>
        <w:t>expresión</w:t>
      </w:r>
      <w:r>
        <w:rPr>
          <w:spacing w:val="-8"/>
        </w:rPr>
        <w:t> </w:t>
      </w:r>
      <w:r>
        <w:rPr/>
        <w:t>de</w:t>
      </w:r>
      <w:r>
        <w:rPr>
          <w:spacing w:val="-10"/>
        </w:rPr>
        <w:t> </w:t>
      </w:r>
      <w:r>
        <w:rPr/>
        <w:t>los</w:t>
      </w:r>
      <w:r>
        <w:rPr>
          <w:spacing w:val="-10"/>
        </w:rPr>
        <w:t> </w:t>
      </w:r>
      <w:r>
        <w:rPr/>
        <w:t>genes</w:t>
      </w:r>
      <w:r>
        <w:rPr>
          <w:spacing w:val="-11"/>
        </w:rPr>
        <w:t> </w:t>
      </w:r>
      <w:r>
        <w:rPr/>
        <w:t>y</w:t>
      </w:r>
      <w:r>
        <w:rPr>
          <w:spacing w:val="-9"/>
        </w:rPr>
        <w:t> </w:t>
      </w:r>
      <w:r>
        <w:rPr/>
        <w:t>además</w:t>
      </w:r>
      <w:r>
        <w:rPr>
          <w:spacing w:val="-11"/>
        </w:rPr>
        <w:t> </w:t>
      </w:r>
      <w:r>
        <w:rPr/>
        <w:t>cumplen un rol muy importante en procesos fisiológicos tanto a nivel epigenético, transcripcional como post-transcripcional. Las funciones que poseen son muy variadas y van desde la modulación de apoptosis e invasión, el procesamiento del RNA, inducción de reprogramación en células madre pluripotentes y modificación de la cromatina (Gong &amp; Maquat, 2011; Khaitan et al., 2011; Loewer et al., 2010;Kanduri,</w:t>
      </w:r>
      <w:r>
        <w:rPr>
          <w:spacing w:val="13"/>
        </w:rPr>
        <w:t> </w:t>
      </w:r>
      <w:r>
        <w:rPr/>
        <w:t>2011).</w:t>
      </w:r>
    </w:p>
    <w:p>
      <w:pPr>
        <w:pStyle w:val="BodyText"/>
        <w:rPr>
          <w:sz w:val="26"/>
        </w:rPr>
      </w:pPr>
    </w:p>
    <w:p>
      <w:pPr>
        <w:pStyle w:val="BodyText"/>
        <w:rPr>
          <w:sz w:val="26"/>
        </w:rPr>
      </w:pPr>
    </w:p>
    <w:p>
      <w:pPr>
        <w:pStyle w:val="ListParagraph"/>
        <w:numPr>
          <w:ilvl w:val="2"/>
          <w:numId w:val="4"/>
        </w:numPr>
        <w:tabs>
          <w:tab w:pos="662" w:val="left" w:leader="none"/>
        </w:tabs>
        <w:spacing w:line="240" w:lineRule="auto" w:before="228" w:after="0"/>
        <w:ind w:left="661" w:right="0" w:hanging="543"/>
        <w:jc w:val="left"/>
        <w:rPr>
          <w:b/>
          <w:sz w:val="24"/>
        </w:rPr>
      </w:pPr>
      <w:bookmarkStart w:name="_TOC_250026" w:id="4"/>
      <w:bookmarkEnd w:id="4"/>
      <w:r>
        <w:rPr>
          <w:b/>
          <w:sz w:val="24"/>
        </w:rPr>
        <w:t>miRNAs</w:t>
      </w:r>
    </w:p>
    <w:p>
      <w:pPr>
        <w:pStyle w:val="BodyText"/>
        <w:rPr>
          <w:b/>
          <w:sz w:val="26"/>
        </w:rPr>
      </w:pPr>
    </w:p>
    <w:p>
      <w:pPr>
        <w:pStyle w:val="BodyText"/>
        <w:spacing w:before="3"/>
        <w:rPr>
          <w:b/>
          <w:sz w:val="22"/>
        </w:rPr>
      </w:pPr>
    </w:p>
    <w:p>
      <w:pPr>
        <w:pStyle w:val="BodyText"/>
        <w:spacing w:line="360" w:lineRule="auto"/>
        <w:ind w:left="119" w:right="1330" w:firstLine="302"/>
        <w:jc w:val="both"/>
      </w:pPr>
      <w:r>
        <w:rPr/>
        <w:t>En los mamíferos, la formación de miRNAs canónicos comienza con la transcripción</w:t>
      </w:r>
      <w:r>
        <w:rPr>
          <w:spacing w:val="-41"/>
        </w:rPr>
        <w:t> </w:t>
      </w:r>
      <w:r>
        <w:rPr/>
        <w:t>por la RNA Polimerasa II (pol (II)) de un transcrito inicial llamado miRNA primario o “pri - miRNA”.</w:t>
      </w:r>
      <w:r>
        <w:rPr>
          <w:spacing w:val="-12"/>
        </w:rPr>
        <w:t> </w:t>
      </w:r>
      <w:r>
        <w:rPr/>
        <w:t>Cada</w:t>
      </w:r>
      <w:r>
        <w:rPr>
          <w:spacing w:val="-14"/>
        </w:rPr>
        <w:t> </w:t>
      </w:r>
      <w:r>
        <w:rPr/>
        <w:t>pri-miRNA</w:t>
      </w:r>
      <w:r>
        <w:rPr>
          <w:spacing w:val="-15"/>
        </w:rPr>
        <w:t> </w:t>
      </w:r>
      <w:r>
        <w:rPr/>
        <w:t>contiene</w:t>
      </w:r>
      <w:r>
        <w:rPr>
          <w:spacing w:val="-14"/>
        </w:rPr>
        <w:t> </w:t>
      </w:r>
      <w:r>
        <w:rPr/>
        <w:t>por</w:t>
      </w:r>
      <w:r>
        <w:rPr>
          <w:spacing w:val="-13"/>
        </w:rPr>
        <w:t> </w:t>
      </w:r>
      <w:r>
        <w:rPr/>
        <w:t>lo</w:t>
      </w:r>
      <w:r>
        <w:rPr>
          <w:spacing w:val="-13"/>
        </w:rPr>
        <w:t> </w:t>
      </w:r>
      <w:r>
        <w:rPr/>
        <w:t>menos</w:t>
      </w:r>
      <w:r>
        <w:rPr>
          <w:spacing w:val="-17"/>
        </w:rPr>
        <w:t> </w:t>
      </w:r>
      <w:r>
        <w:rPr/>
        <w:t>una</w:t>
      </w:r>
      <w:r>
        <w:rPr>
          <w:spacing w:val="-14"/>
        </w:rPr>
        <w:t> </w:t>
      </w:r>
      <w:r>
        <w:rPr/>
        <w:t>región</w:t>
      </w:r>
      <w:r>
        <w:rPr>
          <w:spacing w:val="-14"/>
        </w:rPr>
        <w:t> </w:t>
      </w:r>
      <w:r>
        <w:rPr/>
        <w:t>que</w:t>
      </w:r>
      <w:r>
        <w:rPr>
          <w:spacing w:val="-14"/>
        </w:rPr>
        <w:t> </w:t>
      </w:r>
      <w:r>
        <w:rPr/>
        <w:t>hace</w:t>
      </w:r>
      <w:r>
        <w:rPr>
          <w:spacing w:val="-14"/>
        </w:rPr>
        <w:t> </w:t>
      </w:r>
      <w:r>
        <w:rPr/>
        <w:t>que</w:t>
      </w:r>
      <w:r>
        <w:rPr>
          <w:spacing w:val="-15"/>
        </w:rPr>
        <w:t> </w:t>
      </w:r>
      <w:r>
        <w:rPr/>
        <w:t>se</w:t>
      </w:r>
      <w:r>
        <w:rPr>
          <w:spacing w:val="-14"/>
        </w:rPr>
        <w:t> </w:t>
      </w:r>
      <w:r>
        <w:rPr/>
        <w:t>repliegue</w:t>
      </w:r>
      <w:r>
        <w:rPr>
          <w:spacing w:val="-15"/>
        </w:rPr>
        <w:t> </w:t>
      </w:r>
      <w:r>
        <w:rPr/>
        <w:t>sobre sí mismo para formar una horquilla que servirá como sustrato para el microprocesador. Este es un complejo heterotrimérico que contiene una molécula de una endonucleasa llamada Drosha y dos moléculas de su cofactor, DGCR8 (Bartel, 2018). Tras el corte de Drosha se genera una estructura tallo-bucle de ~ 60 nt llamada pre-miRNA. Este es luego exportado al citoplasma por la acción de la exportina 5 y RAN-GTP. Una vez en el citoplasma,</w:t>
      </w:r>
      <w:r>
        <w:rPr>
          <w:spacing w:val="-28"/>
        </w:rPr>
        <w:t> </w:t>
      </w:r>
      <w:r>
        <w:rPr/>
        <w:t>el pre-</w:t>
      </w:r>
    </w:p>
    <w:p>
      <w:pPr>
        <w:spacing w:after="0" w:line="360" w:lineRule="auto"/>
        <w:jc w:val="both"/>
        <w:sectPr>
          <w:pgSz w:w="12240" w:h="15840"/>
          <w:pgMar w:header="7" w:footer="0" w:top="1040" w:bottom="280" w:left="1580" w:right="360"/>
        </w:sectPr>
      </w:pPr>
    </w:p>
    <w:p>
      <w:pPr>
        <w:pStyle w:val="BodyText"/>
        <w:spacing w:line="360" w:lineRule="auto" w:before="80"/>
        <w:ind w:left="119" w:right="1334"/>
        <w:jc w:val="both"/>
      </w:pPr>
      <w:r>
        <w:rPr/>
        <w:t>miRNA es procesado por otra endonucleasa llamada Dicer. De manera similar a Drosha, Dicer tiene dos dominios RNasa y también posee una proteína cooperadora llamada TRBP en</w:t>
      </w:r>
      <w:r>
        <w:rPr>
          <w:spacing w:val="-5"/>
        </w:rPr>
        <w:t> </w:t>
      </w:r>
      <w:r>
        <w:rPr/>
        <w:t>mamíferos,</w:t>
      </w:r>
      <w:r>
        <w:rPr>
          <w:spacing w:val="-2"/>
        </w:rPr>
        <w:t> </w:t>
      </w:r>
      <w:r>
        <w:rPr/>
        <w:t>la</w:t>
      </w:r>
      <w:r>
        <w:rPr>
          <w:spacing w:val="-5"/>
        </w:rPr>
        <w:t> </w:t>
      </w:r>
      <w:r>
        <w:rPr/>
        <w:t>cual</w:t>
      </w:r>
      <w:r>
        <w:rPr>
          <w:spacing w:val="-3"/>
        </w:rPr>
        <w:t> </w:t>
      </w:r>
      <w:r>
        <w:rPr/>
        <w:t>no</w:t>
      </w:r>
      <w:r>
        <w:rPr>
          <w:spacing w:val="-5"/>
        </w:rPr>
        <w:t> </w:t>
      </w:r>
      <w:r>
        <w:rPr/>
        <w:t>es</w:t>
      </w:r>
      <w:r>
        <w:rPr>
          <w:spacing w:val="-6"/>
        </w:rPr>
        <w:t> </w:t>
      </w:r>
      <w:r>
        <w:rPr/>
        <w:t>esencial.</w:t>
      </w:r>
      <w:r>
        <w:rPr>
          <w:spacing w:val="-2"/>
        </w:rPr>
        <w:t> </w:t>
      </w:r>
      <w:r>
        <w:rPr/>
        <w:t>Dicer</w:t>
      </w:r>
      <w:r>
        <w:rPr>
          <w:spacing w:val="-3"/>
        </w:rPr>
        <w:t> </w:t>
      </w:r>
      <w:r>
        <w:rPr/>
        <w:t>corta</w:t>
      </w:r>
      <w:r>
        <w:rPr>
          <w:spacing w:val="-4"/>
        </w:rPr>
        <w:t> </w:t>
      </w:r>
      <w:r>
        <w:rPr/>
        <w:t>ambas</w:t>
      </w:r>
      <w:r>
        <w:rPr>
          <w:spacing w:val="-7"/>
        </w:rPr>
        <w:t> </w:t>
      </w:r>
      <w:r>
        <w:rPr/>
        <w:t>hebras</w:t>
      </w:r>
      <w:r>
        <w:rPr>
          <w:spacing w:val="-7"/>
        </w:rPr>
        <w:t> </w:t>
      </w:r>
      <w:r>
        <w:rPr/>
        <w:t>en</w:t>
      </w:r>
      <w:r>
        <w:rPr>
          <w:spacing w:val="-4"/>
        </w:rPr>
        <w:t> </w:t>
      </w:r>
      <w:r>
        <w:rPr/>
        <w:t>una</w:t>
      </w:r>
      <w:r>
        <w:rPr>
          <w:spacing w:val="-6"/>
        </w:rPr>
        <w:t> </w:t>
      </w:r>
      <w:r>
        <w:rPr/>
        <w:t>zona cercana</w:t>
      </w:r>
      <w:r>
        <w:rPr>
          <w:spacing w:val="-5"/>
        </w:rPr>
        <w:t> </w:t>
      </w:r>
      <w:r>
        <w:rPr/>
        <w:t>al</w:t>
      </w:r>
      <w:r>
        <w:rPr>
          <w:spacing w:val="-4"/>
        </w:rPr>
        <w:t> </w:t>
      </w:r>
      <w:r>
        <w:rPr/>
        <w:t>bucle. De esta manera genera un miRNA dúplex. Este dúplex se une posteriormente a una proteína Argonauta con la ayuda de proteínas chaperonas (HSC70 y HSP90) que le suministran energía</w:t>
      </w:r>
      <w:r>
        <w:rPr>
          <w:spacing w:val="-15"/>
        </w:rPr>
        <w:t> </w:t>
      </w:r>
      <w:r>
        <w:rPr/>
        <w:t>en</w:t>
      </w:r>
      <w:r>
        <w:rPr>
          <w:spacing w:val="-13"/>
        </w:rPr>
        <w:t> </w:t>
      </w:r>
      <w:r>
        <w:rPr/>
        <w:t>forma</w:t>
      </w:r>
      <w:r>
        <w:rPr>
          <w:spacing w:val="-14"/>
        </w:rPr>
        <w:t> </w:t>
      </w:r>
      <w:r>
        <w:rPr/>
        <w:t>de</w:t>
      </w:r>
      <w:r>
        <w:rPr>
          <w:spacing w:val="-14"/>
        </w:rPr>
        <w:t> </w:t>
      </w:r>
      <w:r>
        <w:rPr/>
        <w:t>ATP.</w:t>
      </w:r>
      <w:r>
        <w:rPr>
          <w:spacing w:val="-16"/>
        </w:rPr>
        <w:t> </w:t>
      </w:r>
      <w:r>
        <w:rPr/>
        <w:t>Esto</w:t>
      </w:r>
      <w:r>
        <w:rPr>
          <w:spacing w:val="-13"/>
        </w:rPr>
        <w:t> </w:t>
      </w:r>
      <w:r>
        <w:rPr/>
        <w:t>hace</w:t>
      </w:r>
      <w:r>
        <w:rPr>
          <w:spacing w:val="-15"/>
        </w:rPr>
        <w:t> </w:t>
      </w:r>
      <w:r>
        <w:rPr/>
        <w:t>que</w:t>
      </w:r>
      <w:r>
        <w:rPr>
          <w:spacing w:val="-14"/>
        </w:rPr>
        <w:t> </w:t>
      </w:r>
      <w:r>
        <w:rPr/>
        <w:t>la</w:t>
      </w:r>
      <w:r>
        <w:rPr>
          <w:spacing w:val="-14"/>
        </w:rPr>
        <w:t> </w:t>
      </w:r>
      <w:r>
        <w:rPr/>
        <w:t>proteína</w:t>
      </w:r>
      <w:r>
        <w:rPr>
          <w:spacing w:val="-14"/>
        </w:rPr>
        <w:t> </w:t>
      </w:r>
      <w:r>
        <w:rPr/>
        <w:t>Argonauta</w:t>
      </w:r>
      <w:r>
        <w:rPr>
          <w:spacing w:val="-14"/>
        </w:rPr>
        <w:t> </w:t>
      </w:r>
      <w:r>
        <w:rPr/>
        <w:t>altere</w:t>
      </w:r>
      <w:r>
        <w:rPr>
          <w:spacing w:val="-14"/>
        </w:rPr>
        <w:t> </w:t>
      </w:r>
      <w:r>
        <w:rPr/>
        <w:t>su</w:t>
      </w:r>
      <w:r>
        <w:rPr>
          <w:spacing w:val="-14"/>
        </w:rPr>
        <w:t> </w:t>
      </w:r>
      <w:r>
        <w:rPr/>
        <w:t>estructura</w:t>
      </w:r>
      <w:r>
        <w:rPr>
          <w:spacing w:val="-14"/>
        </w:rPr>
        <w:t> </w:t>
      </w:r>
      <w:r>
        <w:rPr/>
        <w:t>y</w:t>
      </w:r>
      <w:r>
        <w:rPr>
          <w:spacing w:val="-13"/>
        </w:rPr>
        <w:t> </w:t>
      </w:r>
      <w:r>
        <w:rPr/>
        <w:t>así</w:t>
      </w:r>
      <w:r>
        <w:rPr>
          <w:spacing w:val="-13"/>
        </w:rPr>
        <w:t> </w:t>
      </w:r>
      <w:r>
        <w:rPr/>
        <w:t>pueda unirse</w:t>
      </w:r>
      <w:r>
        <w:rPr>
          <w:spacing w:val="-6"/>
        </w:rPr>
        <w:t> </w:t>
      </w:r>
      <w:r>
        <w:rPr/>
        <w:t>a</w:t>
      </w:r>
      <w:r>
        <w:rPr>
          <w:spacing w:val="-5"/>
        </w:rPr>
        <w:t> </w:t>
      </w:r>
      <w:r>
        <w:rPr/>
        <w:t>la</w:t>
      </w:r>
      <w:r>
        <w:rPr>
          <w:spacing w:val="-4"/>
        </w:rPr>
        <w:t> </w:t>
      </w:r>
      <w:r>
        <w:rPr/>
        <w:t>rígida</w:t>
      </w:r>
      <w:r>
        <w:rPr>
          <w:spacing w:val="-5"/>
        </w:rPr>
        <w:t> </w:t>
      </w:r>
      <w:r>
        <w:rPr/>
        <w:t>estructura</w:t>
      </w:r>
      <w:r>
        <w:rPr>
          <w:spacing w:val="-5"/>
        </w:rPr>
        <w:t> </w:t>
      </w:r>
      <w:r>
        <w:rPr/>
        <w:t>del</w:t>
      </w:r>
      <w:r>
        <w:rPr>
          <w:spacing w:val="-8"/>
        </w:rPr>
        <w:t> </w:t>
      </w:r>
      <w:r>
        <w:rPr/>
        <w:t>miRNA</w:t>
      </w:r>
      <w:r>
        <w:rPr>
          <w:spacing w:val="-6"/>
        </w:rPr>
        <w:t> </w:t>
      </w:r>
      <w:r>
        <w:rPr/>
        <w:t>dúplex.</w:t>
      </w:r>
      <w:r>
        <w:rPr>
          <w:spacing w:val="-2"/>
        </w:rPr>
        <w:t> </w:t>
      </w:r>
      <w:r>
        <w:rPr/>
        <w:t>Aquí</w:t>
      </w:r>
      <w:r>
        <w:rPr>
          <w:spacing w:val="-3"/>
        </w:rPr>
        <w:t> </w:t>
      </w:r>
      <w:r>
        <w:rPr/>
        <w:t>se</w:t>
      </w:r>
      <w:r>
        <w:rPr>
          <w:spacing w:val="-5"/>
        </w:rPr>
        <w:t> </w:t>
      </w:r>
      <w:r>
        <w:rPr/>
        <w:t>produce</w:t>
      </w:r>
      <w:r>
        <w:rPr>
          <w:spacing w:val="-5"/>
        </w:rPr>
        <w:t> </w:t>
      </w:r>
      <w:r>
        <w:rPr/>
        <w:t>la</w:t>
      </w:r>
      <w:r>
        <w:rPr>
          <w:spacing w:val="-5"/>
        </w:rPr>
        <w:t> </w:t>
      </w:r>
      <w:r>
        <w:rPr/>
        <w:t>selección</w:t>
      </w:r>
      <w:r>
        <w:rPr>
          <w:spacing w:val="-3"/>
        </w:rPr>
        <w:t> </w:t>
      </w:r>
      <w:r>
        <w:rPr/>
        <w:t>de</w:t>
      </w:r>
      <w:r>
        <w:rPr>
          <w:spacing w:val="-5"/>
        </w:rPr>
        <w:t> </w:t>
      </w:r>
      <w:r>
        <w:rPr/>
        <w:t>la</w:t>
      </w:r>
      <w:r>
        <w:rPr>
          <w:spacing w:val="-4"/>
        </w:rPr>
        <w:t> </w:t>
      </w:r>
      <w:r>
        <w:rPr/>
        <w:t>hebra</w:t>
      </w:r>
      <w:r>
        <w:rPr>
          <w:spacing w:val="-5"/>
        </w:rPr>
        <w:t> </w:t>
      </w:r>
      <w:r>
        <w:rPr/>
        <w:t>que será la guía y la eliminación de la hebra llamada pasajera o miRNA* (“miRNA Star” en inglés). El resultado es el Complejo de Silenciamiento Inducido por RNA (RISC) (Bartel, 2018; Gebert &amp; MacRae,</w:t>
      </w:r>
      <w:r>
        <w:rPr>
          <w:spacing w:val="4"/>
        </w:rPr>
        <w:t> </w:t>
      </w:r>
      <w:r>
        <w:rPr/>
        <w:t>2019).</w:t>
      </w:r>
    </w:p>
    <w:p>
      <w:pPr>
        <w:pStyle w:val="BodyText"/>
        <w:spacing w:line="360" w:lineRule="auto" w:before="4"/>
        <w:ind w:left="119" w:right="1337" w:firstLine="302"/>
        <w:jc w:val="both"/>
      </w:pPr>
      <w:r>
        <w:rPr/>
        <w:t>Los</w:t>
      </w:r>
      <w:r>
        <w:rPr>
          <w:spacing w:val="-7"/>
        </w:rPr>
        <w:t> </w:t>
      </w:r>
      <w:r>
        <w:rPr/>
        <w:t>miRNAS</w:t>
      </w:r>
      <w:r>
        <w:rPr>
          <w:spacing w:val="-3"/>
        </w:rPr>
        <w:t> </w:t>
      </w:r>
      <w:r>
        <w:rPr/>
        <w:t>actúan</w:t>
      </w:r>
      <w:r>
        <w:rPr>
          <w:spacing w:val="-4"/>
        </w:rPr>
        <w:t> </w:t>
      </w:r>
      <w:r>
        <w:rPr/>
        <w:t>uniéndose</w:t>
      </w:r>
      <w:r>
        <w:rPr>
          <w:spacing w:val="-6"/>
        </w:rPr>
        <w:t> </w:t>
      </w:r>
      <w:r>
        <w:rPr/>
        <w:t>por</w:t>
      </w:r>
      <w:r>
        <w:rPr>
          <w:spacing w:val="-2"/>
        </w:rPr>
        <w:t> </w:t>
      </w:r>
      <w:r>
        <w:rPr/>
        <w:t>complementariedad</w:t>
      </w:r>
      <w:r>
        <w:rPr>
          <w:spacing w:val="-4"/>
        </w:rPr>
        <w:t> </w:t>
      </w:r>
      <w:r>
        <w:rPr/>
        <w:t>de</w:t>
      </w:r>
      <w:r>
        <w:rPr>
          <w:spacing w:val="-5"/>
        </w:rPr>
        <w:t> </w:t>
      </w:r>
      <w:r>
        <w:rPr/>
        <w:t>bases</w:t>
      </w:r>
      <w:r>
        <w:rPr>
          <w:spacing w:val="-2"/>
        </w:rPr>
        <w:t> </w:t>
      </w:r>
      <w:r>
        <w:rPr/>
        <w:t>a</w:t>
      </w:r>
      <w:r>
        <w:rPr>
          <w:spacing w:val="-5"/>
        </w:rPr>
        <w:t> </w:t>
      </w:r>
      <w:r>
        <w:rPr/>
        <w:t>sus</w:t>
      </w:r>
      <w:r>
        <w:rPr>
          <w:spacing w:val="-6"/>
        </w:rPr>
        <w:t> </w:t>
      </w:r>
      <w:r>
        <w:rPr/>
        <w:t>RNAs</w:t>
      </w:r>
      <w:r>
        <w:rPr>
          <w:spacing w:val="-6"/>
        </w:rPr>
        <w:t> </w:t>
      </w:r>
      <w:r>
        <w:rPr/>
        <w:t>mensajeros diana en sitios específicos llamados elementos de respuesta a miRNA (miRNA Response Elements, “MRE”) que preferentemente se localizan en la región 3’ no traducida (UTR) de los mRNA. Así, se induce la represión de la traducción por dos posibles mecanismos: bloqueo del mRNA, o degradación de este (An et al., 2017; Saxe &amp; Lin, 2011) dependiendo si la unión del miRNA al mRNA se da con menor o mayor porcentaje de homología respectivamente,</w:t>
      </w:r>
      <w:r>
        <w:rPr>
          <w:spacing w:val="3"/>
        </w:rPr>
        <w:t> </w:t>
      </w:r>
      <w:r>
        <w:rPr/>
        <w:t>(fig.1.1).</w:t>
      </w:r>
    </w:p>
    <w:p>
      <w:pPr>
        <w:spacing w:after="0" w:line="360" w:lineRule="auto"/>
        <w:jc w:val="both"/>
        <w:sectPr>
          <w:pgSz w:w="12240" w:h="15840"/>
          <w:pgMar w:header="7" w:footer="0" w:top="1040" w:bottom="280" w:left="1580" w:right="360"/>
        </w:sectPr>
      </w:pPr>
    </w:p>
    <w:p>
      <w:pPr>
        <w:pStyle w:val="BodyText"/>
        <w:spacing w:before="10"/>
        <w:rPr>
          <w:sz w:val="6"/>
        </w:rPr>
      </w:pPr>
    </w:p>
    <w:p>
      <w:pPr>
        <w:pStyle w:val="BodyText"/>
        <w:ind w:left="2221"/>
        <w:rPr>
          <w:sz w:val="20"/>
        </w:rPr>
      </w:pPr>
      <w:r>
        <w:rPr>
          <w:sz w:val="20"/>
        </w:rPr>
        <w:drawing>
          <wp:inline distT="0" distB="0" distL="0" distR="0">
            <wp:extent cx="3008867" cy="4307205"/>
            <wp:effectExtent l="0" t="0" r="0" b="0"/>
            <wp:docPr id="5" name="image3.jpeg"/>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3008867" cy="4307205"/>
                    </a:xfrm>
                    <a:prstGeom prst="rect">
                      <a:avLst/>
                    </a:prstGeom>
                  </pic:spPr>
                </pic:pic>
              </a:graphicData>
            </a:graphic>
          </wp:inline>
        </w:drawing>
      </w:r>
      <w:r>
        <w:rPr>
          <w:sz w:val="20"/>
        </w:rPr>
      </w:r>
    </w:p>
    <w:p>
      <w:pPr>
        <w:spacing w:before="123"/>
        <w:ind w:left="1725" w:right="1816" w:firstLine="0"/>
        <w:jc w:val="center"/>
        <w:rPr>
          <w:i/>
          <w:sz w:val="24"/>
        </w:rPr>
      </w:pPr>
      <w:r>
        <w:rPr>
          <w:sz w:val="24"/>
        </w:rPr>
        <w:t>Figura.1.1. </w:t>
      </w:r>
      <w:r>
        <w:rPr>
          <w:i/>
          <w:sz w:val="24"/>
        </w:rPr>
        <w:t>Biogénesis y función canónica de los miRNAs en animales</w:t>
      </w:r>
    </w:p>
    <w:p>
      <w:pPr>
        <w:pStyle w:val="BodyText"/>
        <w:spacing w:before="141"/>
        <w:ind w:left="2530"/>
      </w:pPr>
      <w:r>
        <w:rPr/>
        <w:t>(modificado y traducido de (Bartel, 2018)</w:t>
      </w:r>
    </w:p>
    <w:p>
      <w:pPr>
        <w:pStyle w:val="BodyText"/>
        <w:rPr>
          <w:sz w:val="26"/>
        </w:rPr>
      </w:pPr>
    </w:p>
    <w:p>
      <w:pPr>
        <w:pStyle w:val="BodyText"/>
        <w:rPr>
          <w:sz w:val="26"/>
        </w:rPr>
      </w:pPr>
    </w:p>
    <w:p>
      <w:pPr>
        <w:pStyle w:val="BodyText"/>
        <w:spacing w:before="10"/>
        <w:rPr>
          <w:sz w:val="25"/>
        </w:rPr>
      </w:pPr>
    </w:p>
    <w:p>
      <w:pPr>
        <w:pStyle w:val="ListParagraph"/>
        <w:numPr>
          <w:ilvl w:val="2"/>
          <w:numId w:val="4"/>
        </w:numPr>
        <w:tabs>
          <w:tab w:pos="662" w:val="left" w:leader="none"/>
        </w:tabs>
        <w:spacing w:line="240" w:lineRule="auto" w:before="0" w:after="0"/>
        <w:ind w:left="661" w:right="0" w:hanging="543"/>
        <w:jc w:val="left"/>
        <w:rPr>
          <w:b/>
          <w:sz w:val="24"/>
        </w:rPr>
      </w:pPr>
      <w:bookmarkStart w:name="_TOC_250025" w:id="5"/>
      <w:bookmarkEnd w:id="5"/>
      <w:r>
        <w:rPr>
          <w:b/>
          <w:sz w:val="24"/>
        </w:rPr>
        <w:t>Transcritos de pseudogenes.</w:t>
      </w:r>
    </w:p>
    <w:p>
      <w:pPr>
        <w:pStyle w:val="BodyText"/>
        <w:rPr>
          <w:b/>
          <w:sz w:val="26"/>
        </w:rPr>
      </w:pPr>
    </w:p>
    <w:p>
      <w:pPr>
        <w:pStyle w:val="BodyText"/>
        <w:spacing w:before="9"/>
        <w:rPr>
          <w:b/>
          <w:sz w:val="21"/>
        </w:rPr>
      </w:pPr>
    </w:p>
    <w:p>
      <w:pPr>
        <w:pStyle w:val="BodyText"/>
        <w:spacing w:line="360" w:lineRule="auto" w:before="1"/>
        <w:ind w:left="119" w:right="1333" w:firstLine="302"/>
        <w:jc w:val="both"/>
      </w:pPr>
      <w:r>
        <w:rPr/>
        <w:t>Un pseudogen es una copia de un gen que contiene mutaciones que alteran lo codificado o un gen mismo cuya secuencia de DNA ha perdido la capacidad de llegar a codificar una proteína en el curso de la evolución al acumularse mutaciones en su secuencia (An et al., 2017). Los pseudogenes son abundantes en el genoma. Se diferencian en pseudogenes procesados y no procesados. Los primeros se generan por retrotransposición. Para ello, un mRNA cualquiera es retrotranscrito en presencia de LINE1 y una vez convertido en cDNA, se reinserta en el genoma (Ding et al., 2006). Se caracterizan por no poseer la secuencia equivalente a los intrones del gen del cual se originan. Estos, a su vez, se pueden dividir en transcritos o no, dependiendo si al reinsertarse caen bajo la influencia de un promotor (Ding</w:t>
      </w:r>
    </w:p>
    <w:p>
      <w:pPr>
        <w:spacing w:after="0" w:line="360" w:lineRule="auto"/>
        <w:jc w:val="both"/>
        <w:sectPr>
          <w:pgSz w:w="12240" w:h="15840"/>
          <w:pgMar w:header="7" w:footer="0" w:top="1040" w:bottom="280" w:left="1580" w:right="360"/>
        </w:sectPr>
      </w:pPr>
    </w:p>
    <w:p>
      <w:pPr>
        <w:pStyle w:val="BodyText"/>
        <w:spacing w:line="360" w:lineRule="auto" w:before="80"/>
        <w:ind w:left="119" w:right="1343"/>
        <w:jc w:val="both"/>
      </w:pPr>
      <w:r>
        <w:rPr/>
        <w:t>et al., 2006). Los pseudogenes no procesados se generan por duplicaciones de genes o regiones génicas y por lo general son todos transcritos ya que retienen copias de las secuencias promotoras que los dirigen (Fig.1.2).</w:t>
      </w:r>
    </w:p>
    <w:p>
      <w:pPr>
        <w:pStyle w:val="BodyText"/>
        <w:rPr>
          <w:sz w:val="20"/>
        </w:rPr>
      </w:pPr>
    </w:p>
    <w:p>
      <w:pPr>
        <w:pStyle w:val="BodyText"/>
        <w:rPr>
          <w:sz w:val="20"/>
        </w:rPr>
      </w:pPr>
    </w:p>
    <w:p>
      <w:pPr>
        <w:pStyle w:val="BodyText"/>
        <w:rPr>
          <w:sz w:val="20"/>
        </w:rPr>
      </w:pPr>
    </w:p>
    <w:p>
      <w:pPr>
        <w:pStyle w:val="BodyText"/>
        <w:spacing w:before="7"/>
        <w:rPr>
          <w:sz w:val="28"/>
        </w:rPr>
      </w:pPr>
      <w:r>
        <w:rPr/>
        <w:drawing>
          <wp:anchor distT="0" distB="0" distL="0" distR="0" allowOverlap="1" layoutInCell="1" locked="0" behindDoc="0" simplePos="0" relativeHeight="0">
            <wp:simplePos x="0" y="0"/>
            <wp:positionH relativeFrom="page">
              <wp:posOffset>1346835</wp:posOffset>
            </wp:positionH>
            <wp:positionV relativeFrom="paragraph">
              <wp:posOffset>234092</wp:posOffset>
            </wp:positionV>
            <wp:extent cx="5029199" cy="2771775"/>
            <wp:effectExtent l="0" t="0" r="0" b="0"/>
            <wp:wrapTopAndBottom/>
            <wp:docPr id="7" name="image4.jpeg"/>
            <wp:cNvGraphicFramePr>
              <a:graphicFrameLocks noChangeAspect="1"/>
            </wp:cNvGraphicFramePr>
            <a:graphic>
              <a:graphicData uri="http://schemas.openxmlformats.org/drawingml/2006/picture">
                <pic:pic>
                  <pic:nvPicPr>
                    <pic:cNvPr id="8" name="image4.jpeg"/>
                    <pic:cNvPicPr/>
                  </pic:nvPicPr>
                  <pic:blipFill>
                    <a:blip r:embed="rId11" cstate="print"/>
                    <a:stretch>
                      <a:fillRect/>
                    </a:stretch>
                  </pic:blipFill>
                  <pic:spPr>
                    <a:xfrm>
                      <a:off x="0" y="0"/>
                      <a:ext cx="5029199" cy="2771775"/>
                    </a:xfrm>
                    <a:prstGeom prst="rect">
                      <a:avLst/>
                    </a:prstGeom>
                  </pic:spPr>
                </pic:pic>
              </a:graphicData>
            </a:graphic>
          </wp:anchor>
        </w:drawing>
      </w:r>
    </w:p>
    <w:p>
      <w:pPr>
        <w:pStyle w:val="BodyText"/>
        <w:rPr>
          <w:sz w:val="32"/>
        </w:rPr>
      </w:pPr>
    </w:p>
    <w:p>
      <w:pPr>
        <w:pStyle w:val="BodyText"/>
        <w:spacing w:line="360" w:lineRule="auto"/>
        <w:ind w:left="119" w:right="1341"/>
        <w:jc w:val="both"/>
      </w:pPr>
      <w:r>
        <w:rPr/>
        <w:t>Figura 1.2. </w:t>
      </w:r>
      <w:r>
        <w:rPr>
          <w:i/>
        </w:rPr>
        <w:t>Tipos de pseudogenes. </w:t>
      </w:r>
      <w:r>
        <w:rPr/>
        <w:t>(A) Mutaciones en genes existentes dan lugar a los pseudogenes</w:t>
      </w:r>
      <w:r>
        <w:rPr>
          <w:spacing w:val="-7"/>
        </w:rPr>
        <w:t> </w:t>
      </w:r>
      <w:r>
        <w:rPr/>
        <w:t>unitarios.</w:t>
      </w:r>
      <w:r>
        <w:rPr>
          <w:spacing w:val="-4"/>
        </w:rPr>
        <w:t> </w:t>
      </w:r>
      <w:r>
        <w:rPr/>
        <w:t>(B)</w:t>
      </w:r>
      <w:r>
        <w:rPr>
          <w:spacing w:val="-3"/>
        </w:rPr>
        <w:t> </w:t>
      </w:r>
      <w:r>
        <w:rPr/>
        <w:t>Los</w:t>
      </w:r>
      <w:r>
        <w:rPr>
          <w:spacing w:val="-7"/>
        </w:rPr>
        <w:t> </w:t>
      </w:r>
      <w:r>
        <w:rPr/>
        <w:t>pseudogenes</w:t>
      </w:r>
      <w:r>
        <w:rPr>
          <w:spacing w:val="-7"/>
        </w:rPr>
        <w:t> </w:t>
      </w:r>
      <w:r>
        <w:rPr/>
        <w:t>duplicados</w:t>
      </w:r>
      <w:r>
        <w:rPr>
          <w:spacing w:val="-7"/>
        </w:rPr>
        <w:t> </w:t>
      </w:r>
      <w:r>
        <w:rPr/>
        <w:t>se</w:t>
      </w:r>
      <w:r>
        <w:rPr>
          <w:spacing w:val="-6"/>
        </w:rPr>
        <w:t> </w:t>
      </w:r>
      <w:r>
        <w:rPr/>
        <w:t>producen</w:t>
      </w:r>
      <w:r>
        <w:rPr>
          <w:spacing w:val="-5"/>
        </w:rPr>
        <w:t> </w:t>
      </w:r>
      <w:r>
        <w:rPr/>
        <w:t>después</w:t>
      </w:r>
      <w:r>
        <w:rPr>
          <w:spacing w:val="-7"/>
        </w:rPr>
        <w:t> </w:t>
      </w:r>
      <w:r>
        <w:rPr/>
        <w:t>de</w:t>
      </w:r>
      <w:r>
        <w:rPr>
          <w:spacing w:val="-6"/>
        </w:rPr>
        <w:t> </w:t>
      </w:r>
      <w:r>
        <w:rPr/>
        <w:t>la</w:t>
      </w:r>
      <w:r>
        <w:rPr>
          <w:spacing w:val="-5"/>
        </w:rPr>
        <w:t> </w:t>
      </w:r>
      <w:r>
        <w:rPr/>
        <w:t>mutación de genes copiados. (C) La Transcripción inversa de mRNA en cDNA seguido de retrotransposición</w:t>
      </w:r>
      <w:r>
        <w:rPr>
          <w:spacing w:val="-6"/>
        </w:rPr>
        <w:t> </w:t>
      </w:r>
      <w:r>
        <w:rPr/>
        <w:t>en</w:t>
      </w:r>
      <w:r>
        <w:rPr>
          <w:spacing w:val="-8"/>
        </w:rPr>
        <w:t> </w:t>
      </w:r>
      <w:r>
        <w:rPr/>
        <w:t>el</w:t>
      </w:r>
      <w:r>
        <w:rPr>
          <w:spacing w:val="-5"/>
        </w:rPr>
        <w:t> </w:t>
      </w:r>
      <w:r>
        <w:rPr/>
        <w:t>DNA</w:t>
      </w:r>
      <w:r>
        <w:rPr>
          <w:spacing w:val="-10"/>
        </w:rPr>
        <w:t> </w:t>
      </w:r>
      <w:r>
        <w:rPr/>
        <w:t>genómico</w:t>
      </w:r>
      <w:r>
        <w:rPr>
          <w:spacing w:val="-10"/>
        </w:rPr>
        <w:t> </w:t>
      </w:r>
      <w:r>
        <w:rPr/>
        <w:t>conduce</w:t>
      </w:r>
      <w:r>
        <w:rPr>
          <w:spacing w:val="-7"/>
        </w:rPr>
        <w:t> </w:t>
      </w:r>
      <w:r>
        <w:rPr/>
        <w:t>a</w:t>
      </w:r>
      <w:r>
        <w:rPr>
          <w:spacing w:val="-15"/>
        </w:rPr>
        <w:t> </w:t>
      </w:r>
      <w:r>
        <w:rPr/>
        <w:t>la</w:t>
      </w:r>
      <w:r>
        <w:rPr>
          <w:spacing w:val="-5"/>
        </w:rPr>
        <w:t> </w:t>
      </w:r>
      <w:r>
        <w:rPr/>
        <w:t>generación</w:t>
      </w:r>
      <w:r>
        <w:rPr>
          <w:spacing w:val="-5"/>
        </w:rPr>
        <w:t> </w:t>
      </w:r>
      <w:r>
        <w:rPr/>
        <w:t>de</w:t>
      </w:r>
      <w:r>
        <w:rPr>
          <w:spacing w:val="-11"/>
        </w:rPr>
        <w:t> </w:t>
      </w:r>
      <w:r>
        <w:rPr/>
        <w:t>pseudogenes</w:t>
      </w:r>
      <w:r>
        <w:rPr>
          <w:spacing w:val="-7"/>
        </w:rPr>
        <w:t> </w:t>
      </w:r>
      <w:r>
        <w:rPr/>
        <w:t>procesados (Pink et al.,</w:t>
      </w:r>
      <w:r>
        <w:rPr>
          <w:spacing w:val="4"/>
        </w:rPr>
        <w:t> </w:t>
      </w:r>
      <w:r>
        <w:rPr/>
        <w:t>2011)</w:t>
      </w:r>
    </w:p>
    <w:p>
      <w:pPr>
        <w:pStyle w:val="BodyText"/>
        <w:spacing w:before="1"/>
        <w:rPr>
          <w:sz w:val="30"/>
        </w:rPr>
      </w:pPr>
    </w:p>
    <w:p>
      <w:pPr>
        <w:pStyle w:val="BodyText"/>
        <w:spacing w:line="360" w:lineRule="auto"/>
        <w:ind w:left="119" w:right="1335" w:firstLine="302"/>
        <w:jc w:val="both"/>
      </w:pPr>
      <w:r>
        <w:rPr/>
        <w:t>En</w:t>
      </w:r>
      <w:r>
        <w:rPr>
          <w:spacing w:val="-15"/>
        </w:rPr>
        <w:t> </w:t>
      </w:r>
      <w:r>
        <w:rPr/>
        <w:t>general,</w:t>
      </w:r>
      <w:r>
        <w:rPr>
          <w:spacing w:val="-12"/>
        </w:rPr>
        <w:t> </w:t>
      </w:r>
      <w:r>
        <w:rPr/>
        <w:t>los</w:t>
      </w:r>
      <w:r>
        <w:rPr>
          <w:spacing w:val="-16"/>
        </w:rPr>
        <w:t> </w:t>
      </w:r>
      <w:r>
        <w:rPr/>
        <w:t>pseudogenes</w:t>
      </w:r>
      <w:r>
        <w:rPr>
          <w:spacing w:val="-15"/>
        </w:rPr>
        <w:t> </w:t>
      </w:r>
      <w:r>
        <w:rPr/>
        <w:t>son</w:t>
      </w:r>
      <w:r>
        <w:rPr>
          <w:spacing w:val="-14"/>
        </w:rPr>
        <w:t> </w:t>
      </w:r>
      <w:r>
        <w:rPr/>
        <w:t>llamados</w:t>
      </w:r>
      <w:r>
        <w:rPr>
          <w:spacing w:val="-17"/>
        </w:rPr>
        <w:t> </w:t>
      </w:r>
      <w:r>
        <w:rPr/>
        <w:t>“Genoma</w:t>
      </w:r>
      <w:r>
        <w:rPr>
          <w:spacing w:val="-15"/>
        </w:rPr>
        <w:t> </w:t>
      </w:r>
      <w:r>
        <w:rPr/>
        <w:t>fósil”</w:t>
      </w:r>
      <w:r>
        <w:rPr>
          <w:spacing w:val="-15"/>
        </w:rPr>
        <w:t> </w:t>
      </w:r>
      <w:r>
        <w:rPr/>
        <w:t>e</w:t>
      </w:r>
      <w:r>
        <w:rPr>
          <w:spacing w:val="-15"/>
        </w:rPr>
        <w:t> </w:t>
      </w:r>
      <w:r>
        <w:rPr/>
        <w:t>incluso</w:t>
      </w:r>
      <w:r>
        <w:rPr>
          <w:spacing w:val="-14"/>
        </w:rPr>
        <w:t> </w:t>
      </w:r>
      <w:r>
        <w:rPr/>
        <w:t>son</w:t>
      </w:r>
      <w:r>
        <w:rPr>
          <w:spacing w:val="-14"/>
        </w:rPr>
        <w:t> </w:t>
      </w:r>
      <w:r>
        <w:rPr/>
        <w:t>tratados</w:t>
      </w:r>
      <w:r>
        <w:rPr>
          <w:spacing w:val="-17"/>
        </w:rPr>
        <w:t> </w:t>
      </w:r>
      <w:r>
        <w:rPr/>
        <w:t>de</w:t>
      </w:r>
      <w:r>
        <w:rPr>
          <w:spacing w:val="-15"/>
        </w:rPr>
        <w:t> </w:t>
      </w:r>
      <w:r>
        <w:rPr/>
        <w:t>“DNA basura”. Sin embargo, ha sido reconocido que algunos pseudogenes juegan un rol esencial en</w:t>
      </w:r>
      <w:r>
        <w:rPr>
          <w:spacing w:val="-9"/>
        </w:rPr>
        <w:t> </w:t>
      </w:r>
      <w:r>
        <w:rPr/>
        <w:t>la</w:t>
      </w:r>
      <w:r>
        <w:rPr>
          <w:spacing w:val="-8"/>
        </w:rPr>
        <w:t> </w:t>
      </w:r>
      <w:r>
        <w:rPr/>
        <w:t>regulación</w:t>
      </w:r>
      <w:r>
        <w:rPr>
          <w:spacing w:val="-7"/>
        </w:rPr>
        <w:t> </w:t>
      </w:r>
      <w:r>
        <w:rPr/>
        <w:t>de</w:t>
      </w:r>
      <w:r>
        <w:rPr>
          <w:spacing w:val="-9"/>
        </w:rPr>
        <w:t> </w:t>
      </w:r>
      <w:r>
        <w:rPr/>
        <w:t>sus</w:t>
      </w:r>
      <w:r>
        <w:rPr>
          <w:spacing w:val="-10"/>
        </w:rPr>
        <w:t> </w:t>
      </w:r>
      <w:r>
        <w:rPr/>
        <w:t>genes</w:t>
      </w:r>
      <w:r>
        <w:rPr>
          <w:spacing w:val="-9"/>
        </w:rPr>
        <w:t> </w:t>
      </w:r>
      <w:r>
        <w:rPr/>
        <w:t>originales</w:t>
      </w:r>
      <w:r>
        <w:rPr>
          <w:spacing w:val="-10"/>
        </w:rPr>
        <w:t> </w:t>
      </w:r>
      <w:r>
        <w:rPr/>
        <w:t>y</w:t>
      </w:r>
      <w:r>
        <w:rPr>
          <w:spacing w:val="-8"/>
        </w:rPr>
        <w:t> </w:t>
      </w:r>
      <w:r>
        <w:rPr/>
        <w:t>muchos</w:t>
      </w:r>
      <w:r>
        <w:rPr>
          <w:spacing w:val="-10"/>
        </w:rPr>
        <w:t> </w:t>
      </w:r>
      <w:r>
        <w:rPr/>
        <w:t>de</w:t>
      </w:r>
      <w:r>
        <w:rPr>
          <w:spacing w:val="-9"/>
        </w:rPr>
        <w:t> </w:t>
      </w:r>
      <w:r>
        <w:rPr/>
        <w:t>ellos</w:t>
      </w:r>
      <w:r>
        <w:rPr>
          <w:spacing w:val="-11"/>
        </w:rPr>
        <w:t> </w:t>
      </w:r>
      <w:r>
        <w:rPr/>
        <w:t>lo</w:t>
      </w:r>
      <w:r>
        <w:rPr>
          <w:spacing w:val="-7"/>
        </w:rPr>
        <w:t> </w:t>
      </w:r>
      <w:r>
        <w:rPr/>
        <w:t>hacen</w:t>
      </w:r>
      <w:r>
        <w:rPr>
          <w:spacing w:val="-8"/>
        </w:rPr>
        <w:t> </w:t>
      </w:r>
      <w:r>
        <w:rPr/>
        <w:t>a</w:t>
      </w:r>
      <w:r>
        <w:rPr>
          <w:spacing w:val="-9"/>
        </w:rPr>
        <w:t> </w:t>
      </w:r>
      <w:r>
        <w:rPr/>
        <w:t>través</w:t>
      </w:r>
      <w:r>
        <w:rPr>
          <w:spacing w:val="-10"/>
        </w:rPr>
        <w:t> </w:t>
      </w:r>
      <w:r>
        <w:rPr/>
        <w:t>de</w:t>
      </w:r>
      <w:r>
        <w:rPr>
          <w:spacing w:val="-10"/>
        </w:rPr>
        <w:t> </w:t>
      </w:r>
      <w:r>
        <w:rPr/>
        <w:t>sus</w:t>
      </w:r>
      <w:r>
        <w:rPr>
          <w:spacing w:val="-10"/>
        </w:rPr>
        <w:t> </w:t>
      </w:r>
      <w:r>
        <w:rPr/>
        <w:t>transcritos (Tutar,</w:t>
      </w:r>
      <w:r>
        <w:rPr>
          <w:spacing w:val="3"/>
        </w:rPr>
        <w:t> </w:t>
      </w:r>
      <w:r>
        <w:rPr/>
        <w:t>2012).</w:t>
      </w:r>
    </w:p>
    <w:p>
      <w:pPr>
        <w:pStyle w:val="BodyText"/>
        <w:spacing w:line="360" w:lineRule="auto"/>
        <w:ind w:left="119" w:right="1334" w:firstLine="302"/>
        <w:jc w:val="both"/>
      </w:pPr>
      <w:r>
        <w:rPr/>
        <w:t>Aproximadamente hay unos veinte mil pseudogenes, los cuales se comparan a los genes que codifican proteínas, unos veintisiete mil en el humano (Y. J. Han et al., 2011). El conocimiento actual de estos pseudogenes sigue siendo escaso y muchas de estas</w:t>
      </w:r>
      <w:r>
        <w:rPr>
          <w:spacing w:val="-40"/>
        </w:rPr>
        <w:t> </w:t>
      </w:r>
      <w:r>
        <w:rPr/>
        <w:t>secuencias que una vez se creyeron disfuncionales son de hecho genes funcionales que producen</w:t>
      </w:r>
      <w:r>
        <w:rPr>
          <w:spacing w:val="1"/>
        </w:rPr>
        <w:t> </w:t>
      </w:r>
      <w:r>
        <w:rPr/>
        <w:t>RNA</w:t>
      </w:r>
    </w:p>
    <w:p>
      <w:pPr>
        <w:spacing w:after="0" w:line="360" w:lineRule="auto"/>
        <w:jc w:val="both"/>
        <w:sectPr>
          <w:pgSz w:w="12240" w:h="15840"/>
          <w:pgMar w:header="7" w:footer="0" w:top="1040" w:bottom="280" w:left="1580" w:right="360"/>
        </w:sectPr>
      </w:pPr>
    </w:p>
    <w:p>
      <w:pPr>
        <w:pStyle w:val="BodyText"/>
        <w:spacing w:line="360" w:lineRule="auto" w:before="80"/>
        <w:ind w:left="119" w:right="1333"/>
        <w:jc w:val="both"/>
      </w:pPr>
      <w:r>
        <w:rPr/>
        <w:t>y juegan un papel importante en el silenciamiento de otros genes. Esto puede ser realizado mediante</w:t>
      </w:r>
      <w:r>
        <w:rPr>
          <w:spacing w:val="-5"/>
        </w:rPr>
        <w:t> </w:t>
      </w:r>
      <w:r>
        <w:rPr/>
        <w:t>la</w:t>
      </w:r>
      <w:r>
        <w:rPr>
          <w:spacing w:val="-9"/>
        </w:rPr>
        <w:t> </w:t>
      </w:r>
      <w:r>
        <w:rPr/>
        <w:t>formación</w:t>
      </w:r>
      <w:r>
        <w:rPr>
          <w:spacing w:val="-8"/>
        </w:rPr>
        <w:t> </w:t>
      </w:r>
      <w:r>
        <w:rPr/>
        <w:t>de</w:t>
      </w:r>
      <w:r>
        <w:rPr>
          <w:spacing w:val="-10"/>
        </w:rPr>
        <w:t> </w:t>
      </w:r>
      <w:r>
        <w:rPr/>
        <w:t>siRNAs</w:t>
      </w:r>
      <w:r>
        <w:rPr>
          <w:spacing w:val="-6"/>
        </w:rPr>
        <w:t> </w:t>
      </w:r>
      <w:r>
        <w:rPr/>
        <w:t>o</w:t>
      </w:r>
      <w:r>
        <w:rPr>
          <w:spacing w:val="-4"/>
        </w:rPr>
        <w:t> </w:t>
      </w:r>
      <w:r>
        <w:rPr/>
        <w:t>mediante</w:t>
      </w:r>
      <w:r>
        <w:rPr>
          <w:spacing w:val="-9"/>
        </w:rPr>
        <w:t> </w:t>
      </w:r>
      <w:r>
        <w:rPr/>
        <w:t>la</w:t>
      </w:r>
      <w:r>
        <w:rPr>
          <w:spacing w:val="-5"/>
        </w:rPr>
        <w:t> </w:t>
      </w:r>
      <w:r>
        <w:rPr/>
        <w:t>alteración</w:t>
      </w:r>
      <w:r>
        <w:rPr>
          <w:spacing w:val="-3"/>
        </w:rPr>
        <w:t> </w:t>
      </w:r>
      <w:r>
        <w:rPr/>
        <w:t>indirecta</w:t>
      </w:r>
      <w:r>
        <w:rPr>
          <w:spacing w:val="-9"/>
        </w:rPr>
        <w:t> </w:t>
      </w:r>
      <w:r>
        <w:rPr/>
        <w:t>de</w:t>
      </w:r>
      <w:r>
        <w:rPr>
          <w:spacing w:val="-10"/>
        </w:rPr>
        <w:t> </w:t>
      </w:r>
      <w:r>
        <w:rPr/>
        <w:t>los</w:t>
      </w:r>
      <w:r>
        <w:rPr>
          <w:spacing w:val="-6"/>
        </w:rPr>
        <w:t> </w:t>
      </w:r>
      <w:r>
        <w:rPr/>
        <w:t>niveles</w:t>
      </w:r>
      <w:r>
        <w:rPr>
          <w:spacing w:val="-6"/>
        </w:rPr>
        <w:t> </w:t>
      </w:r>
      <w:r>
        <w:rPr/>
        <w:t>de</w:t>
      </w:r>
      <w:r>
        <w:rPr>
          <w:spacing w:val="-10"/>
        </w:rPr>
        <w:t> </w:t>
      </w:r>
      <w:r>
        <w:rPr/>
        <w:t>mRNA del gen funcional que codifica proteínas (Sasidharan &amp; Gerstein, 2008). Dada la homología de secuencias entre gen y pseudogen, los miRNAs que regulan a un mRNA, podrían unirse también a los transcritos de su pseudogen ya que ambas especies de RNA podrían</w:t>
      </w:r>
      <w:r>
        <w:rPr>
          <w:spacing w:val="-24"/>
        </w:rPr>
        <w:t> </w:t>
      </w:r>
      <w:r>
        <w:rPr/>
        <w:t>compartir las secuencias MRE</w:t>
      </w:r>
      <w:r>
        <w:rPr>
          <w:spacing w:val="2"/>
        </w:rPr>
        <w:t> </w:t>
      </w:r>
      <w:r>
        <w:rPr/>
        <w:t>(Fig1.3.).</w:t>
      </w:r>
    </w:p>
    <w:p>
      <w:pPr>
        <w:pStyle w:val="BodyText"/>
        <w:rPr>
          <w:sz w:val="20"/>
        </w:rPr>
      </w:pPr>
    </w:p>
    <w:p>
      <w:pPr>
        <w:pStyle w:val="BodyText"/>
        <w:rPr>
          <w:sz w:val="20"/>
        </w:rPr>
      </w:pPr>
    </w:p>
    <w:p>
      <w:pPr>
        <w:pStyle w:val="BodyText"/>
        <w:rPr>
          <w:sz w:val="20"/>
        </w:rPr>
      </w:pPr>
    </w:p>
    <w:p>
      <w:pPr>
        <w:pStyle w:val="BodyText"/>
        <w:spacing w:before="9"/>
        <w:rPr>
          <w:sz w:val="16"/>
        </w:rPr>
      </w:pPr>
      <w:r>
        <w:rPr/>
        <w:drawing>
          <wp:anchor distT="0" distB="0" distL="0" distR="0" allowOverlap="1" layoutInCell="1" locked="0" behindDoc="0" simplePos="0" relativeHeight="1">
            <wp:simplePos x="0" y="0"/>
            <wp:positionH relativeFrom="page">
              <wp:posOffset>1152440</wp:posOffset>
            </wp:positionH>
            <wp:positionV relativeFrom="paragraph">
              <wp:posOffset>147498</wp:posOffset>
            </wp:positionV>
            <wp:extent cx="4829130" cy="1541335"/>
            <wp:effectExtent l="0" t="0" r="0" b="0"/>
            <wp:wrapTopAndBottom/>
            <wp:docPr id="9" name="image5.jpeg"/>
            <wp:cNvGraphicFramePr>
              <a:graphicFrameLocks noChangeAspect="1"/>
            </wp:cNvGraphicFramePr>
            <a:graphic>
              <a:graphicData uri="http://schemas.openxmlformats.org/drawingml/2006/picture">
                <pic:pic>
                  <pic:nvPicPr>
                    <pic:cNvPr id="10" name="image5.jpeg"/>
                    <pic:cNvPicPr/>
                  </pic:nvPicPr>
                  <pic:blipFill>
                    <a:blip r:embed="rId12" cstate="print"/>
                    <a:stretch>
                      <a:fillRect/>
                    </a:stretch>
                  </pic:blipFill>
                  <pic:spPr>
                    <a:xfrm>
                      <a:off x="0" y="0"/>
                      <a:ext cx="4829130" cy="1541335"/>
                    </a:xfrm>
                    <a:prstGeom prst="rect">
                      <a:avLst/>
                    </a:prstGeom>
                  </pic:spPr>
                </pic:pic>
              </a:graphicData>
            </a:graphic>
          </wp:anchor>
        </w:drawing>
      </w:r>
    </w:p>
    <w:p>
      <w:pPr>
        <w:pStyle w:val="BodyText"/>
        <w:rPr>
          <w:sz w:val="26"/>
        </w:rPr>
      </w:pPr>
    </w:p>
    <w:p>
      <w:pPr>
        <w:pStyle w:val="BodyText"/>
        <w:spacing w:before="6"/>
        <w:rPr>
          <w:sz w:val="29"/>
        </w:rPr>
      </w:pPr>
    </w:p>
    <w:p>
      <w:pPr>
        <w:spacing w:line="360" w:lineRule="auto" w:before="1"/>
        <w:ind w:left="119" w:right="1335" w:firstLine="245"/>
        <w:jc w:val="both"/>
        <w:rPr>
          <w:sz w:val="24"/>
        </w:rPr>
      </w:pPr>
      <w:r>
        <w:rPr>
          <w:sz w:val="24"/>
        </w:rPr>
        <w:t>Figura.1.3. </w:t>
      </w:r>
      <w:r>
        <w:rPr>
          <w:i/>
          <w:sz w:val="24"/>
        </w:rPr>
        <w:t>Esquema que representa las secuencias MRE que comparte Rnf19a con sus 3 </w:t>
      </w:r>
      <w:r>
        <w:rPr>
          <w:i/>
          <w:sz w:val="24"/>
        </w:rPr>
        <w:t>pseudogenes.</w:t>
      </w:r>
      <w:r>
        <w:rPr>
          <w:i/>
          <w:spacing w:val="-13"/>
          <w:sz w:val="24"/>
        </w:rPr>
        <w:t> </w:t>
      </w:r>
      <w:r>
        <w:rPr>
          <w:sz w:val="24"/>
        </w:rPr>
        <w:t>La</w:t>
      </w:r>
      <w:r>
        <w:rPr>
          <w:spacing w:val="-16"/>
          <w:sz w:val="24"/>
        </w:rPr>
        <w:t> </w:t>
      </w:r>
      <w:r>
        <w:rPr>
          <w:sz w:val="24"/>
        </w:rPr>
        <w:t>línea</w:t>
      </w:r>
      <w:r>
        <w:rPr>
          <w:spacing w:val="-16"/>
          <w:sz w:val="24"/>
        </w:rPr>
        <w:t> </w:t>
      </w:r>
      <w:r>
        <w:rPr>
          <w:sz w:val="24"/>
        </w:rPr>
        <w:t>de</w:t>
      </w:r>
      <w:r>
        <w:rPr>
          <w:spacing w:val="-17"/>
          <w:sz w:val="24"/>
        </w:rPr>
        <w:t> </w:t>
      </w:r>
      <w:r>
        <w:rPr>
          <w:sz w:val="24"/>
        </w:rPr>
        <w:t>color</w:t>
      </w:r>
      <w:r>
        <w:rPr>
          <w:spacing w:val="-14"/>
          <w:sz w:val="24"/>
        </w:rPr>
        <w:t> </w:t>
      </w:r>
      <w:r>
        <w:rPr>
          <w:sz w:val="24"/>
        </w:rPr>
        <w:t>amarillo</w:t>
      </w:r>
      <w:r>
        <w:rPr>
          <w:spacing w:val="-15"/>
          <w:sz w:val="24"/>
        </w:rPr>
        <w:t> </w:t>
      </w:r>
      <w:r>
        <w:rPr>
          <w:sz w:val="24"/>
        </w:rPr>
        <w:t>representa</w:t>
      </w:r>
      <w:r>
        <w:rPr>
          <w:spacing w:val="-17"/>
          <w:sz w:val="24"/>
        </w:rPr>
        <w:t> </w:t>
      </w:r>
      <w:r>
        <w:rPr>
          <w:sz w:val="24"/>
        </w:rPr>
        <w:t>la</w:t>
      </w:r>
      <w:r>
        <w:rPr>
          <w:spacing w:val="-16"/>
          <w:sz w:val="24"/>
        </w:rPr>
        <w:t> </w:t>
      </w:r>
      <w:r>
        <w:rPr>
          <w:sz w:val="24"/>
        </w:rPr>
        <w:t>secuencia</w:t>
      </w:r>
      <w:r>
        <w:rPr>
          <w:spacing w:val="-16"/>
          <w:sz w:val="24"/>
        </w:rPr>
        <w:t> </w:t>
      </w:r>
      <w:r>
        <w:rPr>
          <w:sz w:val="24"/>
        </w:rPr>
        <w:t>miR7013-5p,</w:t>
      </w:r>
      <w:r>
        <w:rPr>
          <w:spacing w:val="-14"/>
          <w:sz w:val="24"/>
        </w:rPr>
        <w:t> </w:t>
      </w:r>
      <w:r>
        <w:rPr>
          <w:sz w:val="24"/>
        </w:rPr>
        <w:t>la</w:t>
      </w:r>
      <w:r>
        <w:rPr>
          <w:spacing w:val="-16"/>
          <w:sz w:val="24"/>
        </w:rPr>
        <w:t> </w:t>
      </w:r>
      <w:r>
        <w:rPr>
          <w:sz w:val="24"/>
        </w:rPr>
        <w:t>línea</w:t>
      </w:r>
      <w:r>
        <w:rPr>
          <w:spacing w:val="-16"/>
          <w:sz w:val="24"/>
        </w:rPr>
        <w:t> </w:t>
      </w:r>
      <w:r>
        <w:rPr>
          <w:sz w:val="24"/>
        </w:rPr>
        <w:t>de</w:t>
      </w:r>
      <w:r>
        <w:rPr>
          <w:spacing w:val="-16"/>
          <w:sz w:val="24"/>
        </w:rPr>
        <w:t> </w:t>
      </w:r>
      <w:r>
        <w:rPr>
          <w:sz w:val="24"/>
        </w:rPr>
        <w:t>color rojo representa la secuencia miR6373, y la línea de color azul representa miR7116-5p. (Smith, 2016)</w:t>
      </w:r>
    </w:p>
    <w:p>
      <w:pPr>
        <w:pStyle w:val="BodyText"/>
        <w:spacing w:before="7"/>
        <w:rPr>
          <w:sz w:val="29"/>
        </w:rPr>
      </w:pPr>
    </w:p>
    <w:p>
      <w:pPr>
        <w:pStyle w:val="BodyText"/>
        <w:spacing w:line="360" w:lineRule="auto"/>
        <w:ind w:left="119" w:right="1335" w:firstLine="302"/>
        <w:jc w:val="both"/>
      </w:pPr>
      <w:r>
        <w:rPr/>
        <w:t>En</w:t>
      </w:r>
      <w:r>
        <w:rPr>
          <w:spacing w:val="-9"/>
        </w:rPr>
        <w:t> </w:t>
      </w:r>
      <w:r>
        <w:rPr/>
        <w:t>base</w:t>
      </w:r>
      <w:r>
        <w:rPr>
          <w:spacing w:val="-10"/>
        </w:rPr>
        <w:t> </w:t>
      </w:r>
      <w:r>
        <w:rPr/>
        <w:t>a</w:t>
      </w:r>
      <w:r>
        <w:rPr>
          <w:spacing w:val="-10"/>
        </w:rPr>
        <w:t> </w:t>
      </w:r>
      <w:r>
        <w:rPr/>
        <w:t>esto,</w:t>
      </w:r>
      <w:r>
        <w:rPr>
          <w:spacing w:val="-5"/>
        </w:rPr>
        <w:t> </w:t>
      </w:r>
      <w:r>
        <w:rPr/>
        <w:t>los</w:t>
      </w:r>
      <w:r>
        <w:rPr>
          <w:spacing w:val="-10"/>
        </w:rPr>
        <w:t> </w:t>
      </w:r>
      <w:r>
        <w:rPr/>
        <w:t>mRNAs,</w:t>
      </w:r>
      <w:r>
        <w:rPr>
          <w:spacing w:val="-7"/>
        </w:rPr>
        <w:t> </w:t>
      </w:r>
      <w:r>
        <w:rPr/>
        <w:t>los</w:t>
      </w:r>
      <w:r>
        <w:rPr>
          <w:spacing w:val="-10"/>
        </w:rPr>
        <w:t> </w:t>
      </w:r>
      <w:r>
        <w:rPr/>
        <w:t>transcritos</w:t>
      </w:r>
      <w:r>
        <w:rPr>
          <w:spacing w:val="-10"/>
        </w:rPr>
        <w:t> </w:t>
      </w:r>
      <w:r>
        <w:rPr/>
        <w:t>de</w:t>
      </w:r>
      <w:r>
        <w:rPr>
          <w:spacing w:val="-10"/>
        </w:rPr>
        <w:t> </w:t>
      </w:r>
      <w:r>
        <w:rPr/>
        <w:t>pseudogenes</w:t>
      </w:r>
      <w:r>
        <w:rPr>
          <w:spacing w:val="-11"/>
        </w:rPr>
        <w:t> </w:t>
      </w:r>
      <w:r>
        <w:rPr/>
        <w:t>y</w:t>
      </w:r>
      <w:r>
        <w:rPr>
          <w:spacing w:val="-9"/>
        </w:rPr>
        <w:t> </w:t>
      </w:r>
      <w:r>
        <w:rPr/>
        <w:t>los</w:t>
      </w:r>
      <w:r>
        <w:rPr>
          <w:spacing w:val="-9"/>
        </w:rPr>
        <w:t> </w:t>
      </w:r>
      <w:r>
        <w:rPr/>
        <w:t>posibles</w:t>
      </w:r>
      <w:r>
        <w:rPr>
          <w:spacing w:val="-11"/>
        </w:rPr>
        <w:t> </w:t>
      </w:r>
      <w:r>
        <w:rPr/>
        <w:t>microRNAs</w:t>
      </w:r>
      <w:r>
        <w:rPr>
          <w:spacing w:val="-11"/>
        </w:rPr>
        <w:t> </w:t>
      </w:r>
      <w:r>
        <w:rPr/>
        <w:t>que los regulan formarían lo que se ha llamado una red de regulación, donde los RNAs se denominan RNAs endógenos competitivos (ceRNAs) (Salmena et al., 2011; Sasidharan &amp; Gerstein,</w:t>
      </w:r>
      <w:r>
        <w:rPr>
          <w:spacing w:val="-4"/>
        </w:rPr>
        <w:t> </w:t>
      </w:r>
      <w:r>
        <w:rPr/>
        <w:t>2008).</w:t>
      </w:r>
      <w:r>
        <w:rPr>
          <w:spacing w:val="-7"/>
        </w:rPr>
        <w:t> </w:t>
      </w:r>
      <w:r>
        <w:rPr/>
        <w:t>Mecanismos</w:t>
      </w:r>
      <w:r>
        <w:rPr>
          <w:spacing w:val="-6"/>
        </w:rPr>
        <w:t> </w:t>
      </w:r>
      <w:r>
        <w:rPr/>
        <w:t>similares</w:t>
      </w:r>
      <w:r>
        <w:rPr>
          <w:spacing w:val="-8"/>
        </w:rPr>
        <w:t> </w:t>
      </w:r>
      <w:r>
        <w:rPr/>
        <w:t>se</w:t>
      </w:r>
      <w:r>
        <w:rPr>
          <w:spacing w:val="-6"/>
        </w:rPr>
        <w:t> </w:t>
      </w:r>
      <w:r>
        <w:rPr/>
        <w:t>han</w:t>
      </w:r>
      <w:r>
        <w:rPr>
          <w:spacing w:val="-6"/>
        </w:rPr>
        <w:t> </w:t>
      </w:r>
      <w:r>
        <w:rPr/>
        <w:t>descrito</w:t>
      </w:r>
      <w:r>
        <w:rPr>
          <w:spacing w:val="-5"/>
        </w:rPr>
        <w:t> </w:t>
      </w:r>
      <w:r>
        <w:rPr/>
        <w:t>ya</w:t>
      </w:r>
      <w:r>
        <w:rPr>
          <w:spacing w:val="-12"/>
        </w:rPr>
        <w:t> </w:t>
      </w:r>
      <w:r>
        <w:rPr/>
        <w:t>ampliamente</w:t>
      </w:r>
      <w:r>
        <w:rPr>
          <w:spacing w:val="-10"/>
        </w:rPr>
        <w:t> </w:t>
      </w:r>
      <w:r>
        <w:rPr/>
        <w:t>y</w:t>
      </w:r>
      <w:r>
        <w:rPr>
          <w:spacing w:val="-11"/>
        </w:rPr>
        <w:t> </w:t>
      </w:r>
      <w:r>
        <w:rPr/>
        <w:t>un</w:t>
      </w:r>
      <w:r>
        <w:rPr>
          <w:spacing w:val="-10"/>
        </w:rPr>
        <w:t> </w:t>
      </w:r>
      <w:r>
        <w:rPr/>
        <w:t>buen</w:t>
      </w:r>
      <w:r>
        <w:rPr>
          <w:spacing w:val="-5"/>
        </w:rPr>
        <w:t> </w:t>
      </w:r>
      <w:r>
        <w:rPr/>
        <w:t>ejemplo</w:t>
      </w:r>
      <w:r>
        <w:rPr>
          <w:spacing w:val="-10"/>
        </w:rPr>
        <w:t> </w:t>
      </w:r>
      <w:r>
        <w:rPr/>
        <w:t>es la regulación del gen </w:t>
      </w:r>
      <w:r>
        <w:rPr>
          <w:i/>
        </w:rPr>
        <w:t>PTEN</w:t>
      </w:r>
      <w:r>
        <w:rPr/>
        <w:t>. Este gen es un supresor tumoral y mantener los niveles de su proteína previene la oncogénesis. En condiciones patológicas, desarrollo de cáncer, por ejemplo,</w:t>
      </w:r>
      <w:r>
        <w:rPr>
          <w:spacing w:val="-3"/>
        </w:rPr>
        <w:t> </w:t>
      </w:r>
      <w:r>
        <w:rPr/>
        <w:t>se</w:t>
      </w:r>
      <w:r>
        <w:rPr>
          <w:spacing w:val="-10"/>
        </w:rPr>
        <w:t> </w:t>
      </w:r>
      <w:r>
        <w:rPr/>
        <w:t>pueden</w:t>
      </w:r>
      <w:r>
        <w:rPr>
          <w:spacing w:val="-5"/>
        </w:rPr>
        <w:t> </w:t>
      </w:r>
      <w:r>
        <w:rPr/>
        <w:t>sobre</w:t>
      </w:r>
      <w:r>
        <w:rPr>
          <w:spacing w:val="-11"/>
        </w:rPr>
        <w:t> </w:t>
      </w:r>
      <w:r>
        <w:rPr/>
        <w:t>expresar</w:t>
      </w:r>
      <w:r>
        <w:rPr>
          <w:spacing w:val="-3"/>
        </w:rPr>
        <w:t> </w:t>
      </w:r>
      <w:r>
        <w:rPr/>
        <w:t>algunos</w:t>
      </w:r>
      <w:r>
        <w:rPr>
          <w:spacing w:val="-11"/>
        </w:rPr>
        <w:t> </w:t>
      </w:r>
      <w:r>
        <w:rPr/>
        <w:t>miRNAs</w:t>
      </w:r>
      <w:r>
        <w:rPr>
          <w:spacing w:val="-7"/>
        </w:rPr>
        <w:t> </w:t>
      </w:r>
      <w:r>
        <w:rPr/>
        <w:t>que</w:t>
      </w:r>
      <w:r>
        <w:rPr>
          <w:spacing w:val="-6"/>
        </w:rPr>
        <w:t> </w:t>
      </w:r>
      <w:r>
        <w:rPr/>
        <w:t>bloquearían</w:t>
      </w:r>
      <w:r>
        <w:rPr>
          <w:spacing w:val="-10"/>
        </w:rPr>
        <w:t> </w:t>
      </w:r>
      <w:r>
        <w:rPr/>
        <w:t>la</w:t>
      </w:r>
      <w:r>
        <w:rPr>
          <w:spacing w:val="-9"/>
        </w:rPr>
        <w:t> </w:t>
      </w:r>
      <w:r>
        <w:rPr/>
        <w:t>traducción</w:t>
      </w:r>
      <w:r>
        <w:rPr>
          <w:spacing w:val="-9"/>
        </w:rPr>
        <w:t> </w:t>
      </w:r>
      <w:r>
        <w:rPr/>
        <w:t>de</w:t>
      </w:r>
      <w:r>
        <w:rPr>
          <w:spacing w:val="-6"/>
        </w:rPr>
        <w:t> </w:t>
      </w:r>
      <w:r>
        <w:rPr>
          <w:i/>
        </w:rPr>
        <w:t>PTEN</w:t>
      </w:r>
      <w:r>
        <w:rPr/>
        <w:t>, impidiendo por tanto su acción antitumoral y favoreciendo el desarrollo oncogénico. Para evadir la acción de los miRNAs que se unen a su 3’ UTR, aparece un transcrito de su pseudogen </w:t>
      </w:r>
      <w:r>
        <w:rPr>
          <w:i/>
        </w:rPr>
        <w:t>PTEN P1</w:t>
      </w:r>
      <w:r>
        <w:rPr/>
        <w:t>, el cual atrae a los miRNAs y “libera” la traducción del mRNA </w:t>
      </w:r>
      <w:r>
        <w:rPr>
          <w:i/>
        </w:rPr>
        <w:t>PTEN </w:t>
      </w:r>
      <w:r>
        <w:rPr/>
        <w:t>(Pink et al., 2011; Salmena et al.,</w:t>
      </w:r>
      <w:r>
        <w:rPr>
          <w:spacing w:val="5"/>
        </w:rPr>
        <w:t> </w:t>
      </w:r>
      <w:r>
        <w:rPr/>
        <w:t>2011).</w:t>
      </w:r>
    </w:p>
    <w:p>
      <w:pPr>
        <w:spacing w:after="0" w:line="360" w:lineRule="auto"/>
        <w:jc w:val="both"/>
        <w:sectPr>
          <w:pgSz w:w="12240" w:h="15840"/>
          <w:pgMar w:header="7" w:footer="0" w:top="1040" w:bottom="280" w:left="1580" w:right="360"/>
        </w:sectPr>
      </w:pPr>
    </w:p>
    <w:p>
      <w:pPr>
        <w:pStyle w:val="ListParagraph"/>
        <w:numPr>
          <w:ilvl w:val="1"/>
          <w:numId w:val="4"/>
        </w:numPr>
        <w:tabs>
          <w:tab w:pos="653" w:val="left" w:leader="none"/>
        </w:tabs>
        <w:spacing w:line="362" w:lineRule="auto" w:before="76" w:after="0"/>
        <w:ind w:left="119" w:right="1343" w:firstLine="0"/>
        <w:jc w:val="both"/>
        <w:rPr>
          <w:b/>
          <w:sz w:val="28"/>
        </w:rPr>
      </w:pPr>
      <w:bookmarkStart w:name="_TOC_250024" w:id="6"/>
      <w:r>
        <w:rPr>
          <w:b/>
          <w:i/>
          <w:sz w:val="28"/>
        </w:rPr>
        <w:t>Rnf19a </w:t>
      </w:r>
      <w:bookmarkEnd w:id="6"/>
      <w:r>
        <w:rPr>
          <w:b/>
          <w:sz w:val="28"/>
        </w:rPr>
        <w:t>y su regulación mediada por miRNAs y transcritos de pseudogenes</w:t>
      </w:r>
    </w:p>
    <w:p>
      <w:pPr>
        <w:pStyle w:val="BodyText"/>
        <w:spacing w:line="360" w:lineRule="auto"/>
        <w:ind w:left="119" w:right="1334" w:firstLine="302"/>
        <w:jc w:val="both"/>
      </w:pPr>
      <w:r>
        <w:rPr>
          <w:i/>
        </w:rPr>
        <w:t>Rnf19a</w:t>
      </w:r>
      <w:r>
        <w:rPr>
          <w:i/>
          <w:spacing w:val="-9"/>
        </w:rPr>
        <w:t> </w:t>
      </w:r>
      <w:r>
        <w:rPr/>
        <w:t>es</w:t>
      </w:r>
      <w:r>
        <w:rPr>
          <w:spacing w:val="-6"/>
        </w:rPr>
        <w:t> </w:t>
      </w:r>
      <w:r>
        <w:rPr/>
        <w:t>un</w:t>
      </w:r>
      <w:r>
        <w:rPr>
          <w:spacing w:val="-9"/>
        </w:rPr>
        <w:t> </w:t>
      </w:r>
      <w:r>
        <w:rPr/>
        <w:t>gen</w:t>
      </w:r>
      <w:r>
        <w:rPr>
          <w:spacing w:val="-4"/>
        </w:rPr>
        <w:t> </w:t>
      </w:r>
      <w:r>
        <w:rPr/>
        <w:t>descrito</w:t>
      </w:r>
      <w:r>
        <w:rPr>
          <w:spacing w:val="-4"/>
        </w:rPr>
        <w:t> </w:t>
      </w:r>
      <w:r>
        <w:rPr/>
        <w:t>por</w:t>
      </w:r>
      <w:r>
        <w:rPr>
          <w:spacing w:val="-7"/>
        </w:rPr>
        <w:t> </w:t>
      </w:r>
      <w:r>
        <w:rPr/>
        <w:t>primera</w:t>
      </w:r>
      <w:r>
        <w:rPr>
          <w:spacing w:val="-10"/>
        </w:rPr>
        <w:t> </w:t>
      </w:r>
      <w:r>
        <w:rPr/>
        <w:t>vez</w:t>
      </w:r>
      <w:r>
        <w:rPr>
          <w:spacing w:val="-5"/>
        </w:rPr>
        <w:t> </w:t>
      </w:r>
      <w:r>
        <w:rPr/>
        <w:t>en</w:t>
      </w:r>
      <w:r>
        <w:rPr>
          <w:spacing w:val="-9"/>
        </w:rPr>
        <w:t> </w:t>
      </w:r>
      <w:r>
        <w:rPr/>
        <w:t>la</w:t>
      </w:r>
      <w:r>
        <w:rPr>
          <w:spacing w:val="-10"/>
        </w:rPr>
        <w:t> </w:t>
      </w:r>
      <w:r>
        <w:rPr/>
        <w:t>espermatogénesis</w:t>
      </w:r>
      <w:r>
        <w:rPr>
          <w:spacing w:val="-6"/>
        </w:rPr>
        <w:t> </w:t>
      </w:r>
      <w:r>
        <w:rPr/>
        <w:t>de</w:t>
      </w:r>
      <w:r>
        <w:rPr>
          <w:spacing w:val="-5"/>
        </w:rPr>
        <w:t> </w:t>
      </w:r>
      <w:r>
        <w:rPr/>
        <w:t>ratón,</w:t>
      </w:r>
      <w:r>
        <w:rPr>
          <w:spacing w:val="-6"/>
        </w:rPr>
        <w:t> </w:t>
      </w:r>
      <w:r>
        <w:rPr/>
        <w:t>el</w:t>
      </w:r>
      <w:r>
        <w:rPr>
          <w:spacing w:val="-8"/>
        </w:rPr>
        <w:t> </w:t>
      </w:r>
      <w:r>
        <w:rPr/>
        <w:t>cual</w:t>
      </w:r>
      <w:r>
        <w:rPr>
          <w:spacing w:val="-3"/>
        </w:rPr>
        <w:t> </w:t>
      </w:r>
      <w:r>
        <w:rPr/>
        <w:t>genera una</w:t>
      </w:r>
      <w:r>
        <w:rPr>
          <w:spacing w:val="-12"/>
        </w:rPr>
        <w:t> </w:t>
      </w:r>
      <w:r>
        <w:rPr/>
        <w:t>enzima</w:t>
      </w:r>
      <w:r>
        <w:rPr>
          <w:spacing w:val="-11"/>
        </w:rPr>
        <w:t> </w:t>
      </w:r>
      <w:r>
        <w:rPr/>
        <w:t>E3</w:t>
      </w:r>
      <w:r>
        <w:rPr>
          <w:spacing w:val="-10"/>
        </w:rPr>
        <w:t> </w:t>
      </w:r>
      <w:r>
        <w:rPr/>
        <w:t>ligasa</w:t>
      </w:r>
      <w:r>
        <w:rPr>
          <w:spacing w:val="-12"/>
        </w:rPr>
        <w:t> </w:t>
      </w:r>
      <w:r>
        <w:rPr/>
        <w:t>de</w:t>
      </w:r>
      <w:r>
        <w:rPr>
          <w:spacing w:val="-11"/>
        </w:rPr>
        <w:t> </w:t>
      </w:r>
      <w:r>
        <w:rPr/>
        <w:t>ubiquitina,</w:t>
      </w:r>
      <w:r>
        <w:rPr>
          <w:spacing w:val="-12"/>
        </w:rPr>
        <w:t> </w:t>
      </w:r>
      <w:r>
        <w:rPr/>
        <w:t>compuesta</w:t>
      </w:r>
      <w:r>
        <w:rPr>
          <w:spacing w:val="-11"/>
        </w:rPr>
        <w:t> </w:t>
      </w:r>
      <w:r>
        <w:rPr/>
        <w:t>por</w:t>
      </w:r>
      <w:r>
        <w:rPr>
          <w:spacing w:val="-18"/>
        </w:rPr>
        <w:t> </w:t>
      </w:r>
      <w:r>
        <w:rPr/>
        <w:t>838</w:t>
      </w:r>
      <w:r>
        <w:rPr>
          <w:spacing w:val="-10"/>
        </w:rPr>
        <w:t> </w:t>
      </w:r>
      <w:r>
        <w:rPr/>
        <w:t>aminoácidos</w:t>
      </w:r>
      <w:r>
        <w:rPr>
          <w:spacing w:val="-11"/>
        </w:rPr>
        <w:t> </w:t>
      </w:r>
      <w:r>
        <w:rPr/>
        <w:t>y</w:t>
      </w:r>
      <w:r>
        <w:rPr>
          <w:spacing w:val="-15"/>
        </w:rPr>
        <w:t> </w:t>
      </w:r>
      <w:r>
        <w:rPr/>
        <w:t>con</w:t>
      </w:r>
      <w:r>
        <w:rPr>
          <w:spacing w:val="-10"/>
        </w:rPr>
        <w:t> </w:t>
      </w:r>
      <w:r>
        <w:rPr/>
        <w:t>un</w:t>
      </w:r>
      <w:r>
        <w:rPr>
          <w:spacing w:val="-14"/>
        </w:rPr>
        <w:t> </w:t>
      </w:r>
      <w:r>
        <w:rPr/>
        <w:t>peso</w:t>
      </w:r>
      <w:r>
        <w:rPr>
          <w:spacing w:val="-10"/>
        </w:rPr>
        <w:t> </w:t>
      </w:r>
      <w:r>
        <w:rPr/>
        <w:t>molecular de</w:t>
      </w:r>
      <w:r>
        <w:rPr>
          <w:spacing w:val="-9"/>
        </w:rPr>
        <w:t> </w:t>
      </w:r>
      <w:r>
        <w:rPr/>
        <w:t>90696</w:t>
      </w:r>
      <w:r>
        <w:rPr>
          <w:spacing w:val="-9"/>
        </w:rPr>
        <w:t> </w:t>
      </w:r>
      <w:r>
        <w:rPr>
          <w:color w:val="333333"/>
        </w:rPr>
        <w:t>Da</w:t>
      </w:r>
      <w:r>
        <w:rPr>
          <w:color w:val="333333"/>
          <w:spacing w:val="-10"/>
        </w:rPr>
        <w:t> </w:t>
      </w:r>
      <w:r>
        <w:rPr/>
        <w:t>(Niwa</w:t>
      </w:r>
      <w:r>
        <w:rPr>
          <w:spacing w:val="-10"/>
        </w:rPr>
        <w:t> </w:t>
      </w:r>
      <w:r>
        <w:rPr/>
        <w:t>et</w:t>
      </w:r>
      <w:r>
        <w:rPr>
          <w:spacing w:val="1"/>
        </w:rPr>
        <w:t> </w:t>
      </w:r>
      <w:r>
        <w:rPr/>
        <w:t>al.,</w:t>
      </w:r>
      <w:r>
        <w:rPr>
          <w:spacing w:val="-7"/>
        </w:rPr>
        <w:t> </w:t>
      </w:r>
      <w:r>
        <w:rPr/>
        <w:t>2001)</w:t>
      </w:r>
      <w:r>
        <w:rPr>
          <w:color w:val="333333"/>
        </w:rPr>
        <w:t>.</w:t>
      </w:r>
      <w:r>
        <w:rPr>
          <w:color w:val="333333"/>
          <w:spacing w:val="-6"/>
        </w:rPr>
        <w:t> </w:t>
      </w:r>
      <w:r>
        <w:rPr/>
        <w:t>Esta</w:t>
      </w:r>
      <w:r>
        <w:rPr>
          <w:spacing w:val="-9"/>
        </w:rPr>
        <w:t> </w:t>
      </w:r>
      <w:r>
        <w:rPr/>
        <w:t>enzima</w:t>
      </w:r>
      <w:r>
        <w:rPr>
          <w:spacing w:val="-10"/>
        </w:rPr>
        <w:t> </w:t>
      </w:r>
      <w:r>
        <w:rPr/>
        <w:t>es</w:t>
      </w:r>
      <w:r>
        <w:rPr>
          <w:spacing w:val="-11"/>
        </w:rPr>
        <w:t> </w:t>
      </w:r>
      <w:r>
        <w:rPr/>
        <w:t>de</w:t>
      </w:r>
      <w:r>
        <w:rPr>
          <w:spacing w:val="-9"/>
        </w:rPr>
        <w:t> </w:t>
      </w:r>
      <w:r>
        <w:rPr/>
        <w:t>tipo</w:t>
      </w:r>
      <w:r>
        <w:rPr>
          <w:spacing w:val="-9"/>
        </w:rPr>
        <w:t> </w:t>
      </w:r>
      <w:r>
        <w:rPr/>
        <w:t>RING,</w:t>
      </w:r>
      <w:r>
        <w:rPr>
          <w:spacing w:val="-7"/>
        </w:rPr>
        <w:t> </w:t>
      </w:r>
      <w:r>
        <w:rPr/>
        <w:t>ya</w:t>
      </w:r>
      <w:r>
        <w:rPr>
          <w:spacing w:val="-10"/>
        </w:rPr>
        <w:t> </w:t>
      </w:r>
      <w:r>
        <w:rPr/>
        <w:t>que</w:t>
      </w:r>
      <w:r>
        <w:rPr>
          <w:spacing w:val="-10"/>
        </w:rPr>
        <w:t> </w:t>
      </w:r>
      <w:r>
        <w:rPr/>
        <w:t>presenta</w:t>
      </w:r>
      <w:r>
        <w:rPr>
          <w:spacing w:val="-9"/>
        </w:rPr>
        <w:t> </w:t>
      </w:r>
      <w:r>
        <w:rPr/>
        <w:t>dos</w:t>
      </w:r>
      <w:r>
        <w:rPr>
          <w:spacing w:val="-8"/>
        </w:rPr>
        <w:t> </w:t>
      </w:r>
      <w:r>
        <w:rPr/>
        <w:t>dominios RING y uno RBR (RING between RING) el cual le permite interactuar con el sustrato (Párraga</w:t>
      </w:r>
      <w:r>
        <w:rPr>
          <w:spacing w:val="-11"/>
        </w:rPr>
        <w:t> </w:t>
      </w:r>
      <w:r>
        <w:rPr/>
        <w:t>&amp;</w:t>
      </w:r>
      <w:r>
        <w:rPr>
          <w:spacing w:val="-14"/>
        </w:rPr>
        <w:t> </w:t>
      </w:r>
      <w:r>
        <w:rPr/>
        <w:t>del</w:t>
      </w:r>
      <w:r>
        <w:rPr>
          <w:spacing w:val="-9"/>
        </w:rPr>
        <w:t> </w:t>
      </w:r>
      <w:r>
        <w:rPr/>
        <w:t>Mazo,</w:t>
      </w:r>
      <w:r>
        <w:rPr>
          <w:spacing w:val="-8"/>
        </w:rPr>
        <w:t> </w:t>
      </w:r>
      <w:r>
        <w:rPr/>
        <w:t>2000).</w:t>
      </w:r>
      <w:r>
        <w:rPr>
          <w:spacing w:val="-9"/>
        </w:rPr>
        <w:t> </w:t>
      </w:r>
      <w:r>
        <w:rPr>
          <w:i/>
        </w:rPr>
        <w:t>Rnf19a</w:t>
      </w:r>
      <w:r>
        <w:rPr>
          <w:i/>
          <w:spacing w:val="-13"/>
        </w:rPr>
        <w:t> </w:t>
      </w:r>
      <w:r>
        <w:rPr/>
        <w:t>se</w:t>
      </w:r>
      <w:r>
        <w:rPr>
          <w:spacing w:val="-11"/>
        </w:rPr>
        <w:t> </w:t>
      </w:r>
      <w:r>
        <w:rPr/>
        <w:t>encuentra</w:t>
      </w:r>
      <w:r>
        <w:rPr>
          <w:spacing w:val="-10"/>
        </w:rPr>
        <w:t> </w:t>
      </w:r>
      <w:r>
        <w:rPr>
          <w:spacing w:val="-3"/>
        </w:rPr>
        <w:t>en</w:t>
      </w:r>
      <w:r>
        <w:rPr>
          <w:spacing w:val="-10"/>
        </w:rPr>
        <w:t> </w:t>
      </w:r>
      <w:r>
        <w:rPr/>
        <w:t>el</w:t>
      </w:r>
      <w:r>
        <w:rPr>
          <w:spacing w:val="-9"/>
        </w:rPr>
        <w:t> </w:t>
      </w:r>
      <w:r>
        <w:rPr/>
        <w:t>cromosoma</w:t>
      </w:r>
      <w:r>
        <w:rPr>
          <w:spacing w:val="-10"/>
        </w:rPr>
        <w:t> </w:t>
      </w:r>
      <w:r>
        <w:rPr/>
        <w:t>15</w:t>
      </w:r>
      <w:r>
        <w:rPr>
          <w:spacing w:val="-13"/>
        </w:rPr>
        <w:t> </w:t>
      </w:r>
      <w:r>
        <w:rPr/>
        <w:t>de</w:t>
      </w:r>
      <w:r>
        <w:rPr>
          <w:spacing w:val="-11"/>
        </w:rPr>
        <w:t> </w:t>
      </w:r>
      <w:r>
        <w:rPr/>
        <w:t>ratón.</w:t>
      </w:r>
      <w:r>
        <w:rPr>
          <w:spacing w:val="-8"/>
        </w:rPr>
        <w:t> </w:t>
      </w:r>
      <w:r>
        <w:rPr/>
        <w:t>La</w:t>
      </w:r>
      <w:r>
        <w:rPr>
          <w:spacing w:val="-11"/>
        </w:rPr>
        <w:t> </w:t>
      </w:r>
      <w:r>
        <w:rPr/>
        <w:t>estructura genómica se conforma por 10 exones y 9 intrones (Rejas, 2016). Además, en el mismo estudio se encontró que </w:t>
      </w:r>
      <w:r>
        <w:rPr>
          <w:i/>
        </w:rPr>
        <w:t>Rnf19a </w:t>
      </w:r>
      <w:r>
        <w:rPr/>
        <w:t>genera dos transcritos. Uno de 4,2 Kb que se expresa en la totalidad de las células somáticas y germinales. Otro, un transcrito más corto de 2,8 Kb que solo</w:t>
      </w:r>
      <w:r>
        <w:rPr>
          <w:spacing w:val="-4"/>
        </w:rPr>
        <w:t> </w:t>
      </w:r>
      <w:r>
        <w:rPr/>
        <w:t>lo</w:t>
      </w:r>
      <w:r>
        <w:rPr>
          <w:spacing w:val="-9"/>
        </w:rPr>
        <w:t> </w:t>
      </w:r>
      <w:r>
        <w:rPr/>
        <w:t>expresan</w:t>
      </w:r>
      <w:r>
        <w:rPr>
          <w:spacing w:val="-5"/>
        </w:rPr>
        <w:t> </w:t>
      </w:r>
      <w:r>
        <w:rPr/>
        <w:t>las</w:t>
      </w:r>
      <w:r>
        <w:rPr>
          <w:spacing w:val="-8"/>
        </w:rPr>
        <w:t> </w:t>
      </w:r>
      <w:r>
        <w:rPr/>
        <w:t>células</w:t>
      </w:r>
      <w:r>
        <w:rPr>
          <w:spacing w:val="-7"/>
        </w:rPr>
        <w:t> </w:t>
      </w:r>
      <w:r>
        <w:rPr/>
        <w:t>germinales</w:t>
      </w:r>
      <w:r>
        <w:rPr>
          <w:spacing w:val="-7"/>
        </w:rPr>
        <w:t> </w:t>
      </w:r>
      <w:r>
        <w:rPr/>
        <w:t>masculinas</w:t>
      </w:r>
      <w:r>
        <w:rPr>
          <w:spacing w:val="-6"/>
        </w:rPr>
        <w:t> </w:t>
      </w:r>
      <w:r>
        <w:rPr/>
        <w:t>a</w:t>
      </w:r>
      <w:r>
        <w:rPr>
          <w:spacing w:val="-6"/>
        </w:rPr>
        <w:t> </w:t>
      </w:r>
      <w:r>
        <w:rPr/>
        <w:t>partir</w:t>
      </w:r>
      <w:r>
        <w:rPr>
          <w:spacing w:val="-8"/>
        </w:rPr>
        <w:t> </w:t>
      </w:r>
      <w:r>
        <w:rPr/>
        <w:t>de</w:t>
      </w:r>
      <w:r>
        <w:rPr>
          <w:spacing w:val="-11"/>
        </w:rPr>
        <w:t> </w:t>
      </w:r>
      <w:r>
        <w:rPr/>
        <w:t>14</w:t>
      </w:r>
      <w:r>
        <w:rPr>
          <w:spacing w:val="-10"/>
        </w:rPr>
        <w:t> </w:t>
      </w:r>
      <w:r>
        <w:rPr/>
        <w:t>días</w:t>
      </w:r>
      <w:r>
        <w:rPr>
          <w:spacing w:val="-7"/>
        </w:rPr>
        <w:t> </w:t>
      </w:r>
      <w:r>
        <w:rPr/>
        <w:t>después</w:t>
      </w:r>
      <w:r>
        <w:rPr>
          <w:spacing w:val="-7"/>
        </w:rPr>
        <w:t> </w:t>
      </w:r>
      <w:r>
        <w:rPr/>
        <w:t>del</w:t>
      </w:r>
      <w:r>
        <w:rPr>
          <w:spacing w:val="-9"/>
        </w:rPr>
        <w:t> </w:t>
      </w:r>
      <w:r>
        <w:rPr/>
        <w:t>nacimiento (Párraga &amp; del Mazo, 2000). El análisis de las regiones 3’ UTR de los transcritos permitió predecir que existiría una regulación de estos mRNAs de </w:t>
      </w:r>
      <w:r>
        <w:rPr>
          <w:i/>
        </w:rPr>
        <w:t>Rnf19a </w:t>
      </w:r>
      <w:r>
        <w:rPr/>
        <w:t>por medio de microRNAs, como se comprobó en un trabajo de tesis previo del laboratorio (Smith,</w:t>
      </w:r>
      <w:r>
        <w:rPr>
          <w:spacing w:val="-5"/>
        </w:rPr>
        <w:t> </w:t>
      </w:r>
      <w:r>
        <w:rPr/>
        <w:t>2016).</w:t>
      </w:r>
    </w:p>
    <w:p>
      <w:pPr>
        <w:pStyle w:val="BodyText"/>
        <w:spacing w:line="362" w:lineRule="auto"/>
        <w:ind w:left="119" w:right="1341" w:firstLine="302"/>
        <w:jc w:val="both"/>
      </w:pPr>
      <w:r>
        <w:rPr/>
        <w:drawing>
          <wp:anchor distT="0" distB="0" distL="0" distR="0" allowOverlap="1" layoutInCell="1" locked="0" behindDoc="0" simplePos="0" relativeHeight="2">
            <wp:simplePos x="0" y="0"/>
            <wp:positionH relativeFrom="page">
              <wp:posOffset>1284140</wp:posOffset>
            </wp:positionH>
            <wp:positionV relativeFrom="paragraph">
              <wp:posOffset>611367</wp:posOffset>
            </wp:positionV>
            <wp:extent cx="5209803" cy="2383631"/>
            <wp:effectExtent l="0" t="0" r="0" b="0"/>
            <wp:wrapTopAndBottom/>
            <wp:docPr id="11" name="image6.jpeg"/>
            <wp:cNvGraphicFramePr>
              <a:graphicFrameLocks noChangeAspect="1"/>
            </wp:cNvGraphicFramePr>
            <a:graphic>
              <a:graphicData uri="http://schemas.openxmlformats.org/drawingml/2006/picture">
                <pic:pic>
                  <pic:nvPicPr>
                    <pic:cNvPr id="12" name="image6.jpeg"/>
                    <pic:cNvPicPr/>
                  </pic:nvPicPr>
                  <pic:blipFill>
                    <a:blip r:embed="rId13" cstate="print"/>
                    <a:stretch>
                      <a:fillRect/>
                    </a:stretch>
                  </pic:blipFill>
                  <pic:spPr>
                    <a:xfrm>
                      <a:off x="0" y="0"/>
                      <a:ext cx="5209803" cy="2383631"/>
                    </a:xfrm>
                    <a:prstGeom prst="rect">
                      <a:avLst/>
                    </a:prstGeom>
                  </pic:spPr>
                </pic:pic>
              </a:graphicData>
            </a:graphic>
          </wp:anchor>
        </w:drawing>
      </w:r>
      <w:r>
        <w:rPr/>
        <w:t>Recientemente, además, se ha identificado que en el cromosoma 9 de ratón hay 3 pseudogenes de </w:t>
      </w:r>
      <w:r>
        <w:rPr>
          <w:i/>
        </w:rPr>
        <w:t>Rnf19a </w:t>
      </w:r>
      <w:r>
        <w:rPr/>
        <w:t>del tipo procesado (Rejas, 2016), como se muestra en la figura</w:t>
      </w:r>
      <w:r>
        <w:rPr>
          <w:spacing w:val="-24"/>
        </w:rPr>
        <w:t> </w:t>
      </w:r>
      <w:r>
        <w:rPr/>
        <w:t>(1.4)</w:t>
      </w:r>
    </w:p>
    <w:p>
      <w:pPr>
        <w:pStyle w:val="BodyText"/>
        <w:spacing w:before="1"/>
        <w:rPr>
          <w:sz w:val="21"/>
        </w:rPr>
      </w:pPr>
    </w:p>
    <w:p>
      <w:pPr>
        <w:spacing w:line="362" w:lineRule="auto" w:before="0"/>
        <w:ind w:left="119" w:right="1345" w:firstLine="422"/>
        <w:jc w:val="both"/>
        <w:rPr>
          <w:sz w:val="24"/>
        </w:rPr>
      </w:pPr>
      <w:r>
        <w:rPr>
          <w:sz w:val="24"/>
        </w:rPr>
        <w:t>Figura.1.4. </w:t>
      </w:r>
      <w:r>
        <w:rPr>
          <w:i/>
          <w:sz w:val="24"/>
        </w:rPr>
        <w:t>Comparación de similitud entre el gen codificante Rnf19a contra sus 3 </w:t>
      </w:r>
      <w:r>
        <w:rPr>
          <w:i/>
          <w:sz w:val="24"/>
        </w:rPr>
        <w:t>pseudogenes. </w:t>
      </w:r>
      <w:r>
        <w:rPr>
          <w:sz w:val="24"/>
        </w:rPr>
        <w:t>Rnf19aTTPg1, Rnf19aTTPg2 y Rnf19aTTPg3 (izquierda); comparación de similitud entre los 3 pseudogenes Rnf19aTTPg1, 2 y 3(Derecha) (Rejas, 2016).</w:t>
      </w:r>
    </w:p>
    <w:p>
      <w:pPr>
        <w:spacing w:after="0" w:line="362" w:lineRule="auto"/>
        <w:jc w:val="both"/>
        <w:rPr>
          <w:sz w:val="24"/>
        </w:rPr>
        <w:sectPr>
          <w:pgSz w:w="12240" w:h="15840"/>
          <w:pgMar w:header="7" w:footer="0" w:top="1040" w:bottom="280" w:left="1580" w:right="360"/>
        </w:sectPr>
      </w:pPr>
    </w:p>
    <w:p>
      <w:pPr>
        <w:pStyle w:val="BodyText"/>
        <w:spacing w:line="360" w:lineRule="auto" w:before="80"/>
        <w:ind w:left="119" w:right="1333" w:firstLine="302"/>
        <w:jc w:val="both"/>
      </w:pPr>
      <w:r>
        <w:rPr/>
        <w:t>Los pseudogenes de </w:t>
      </w:r>
      <w:r>
        <w:rPr>
          <w:i/>
        </w:rPr>
        <w:t>Rnf19a </w:t>
      </w:r>
      <w:r>
        <w:rPr/>
        <w:t>son del tipo procesado. Eso significa que no contienen intrones y además son producto de una retrotransposición. Como se aprecia en la Figura 1.4 los transcritos de los pseudogenes de </w:t>
      </w:r>
      <w:r>
        <w:rPr>
          <w:i/>
        </w:rPr>
        <w:t>Rnf19a </w:t>
      </w:r>
      <w:r>
        <w:rPr/>
        <w:t>poseen una alta similitud entre ellos y el gen (entre 89%- 90%) y una similitud aún mayor entre ellos mismos (entre 95%-96%), lo que nos da a entender que sus diferencias son muy puntuales.</w:t>
      </w:r>
    </w:p>
    <w:p>
      <w:pPr>
        <w:pStyle w:val="BodyText"/>
        <w:spacing w:line="362" w:lineRule="auto"/>
        <w:ind w:left="119" w:right="1339" w:firstLine="302"/>
        <w:jc w:val="both"/>
      </w:pPr>
      <w:r>
        <w:rPr/>
        <w:t>Además, en análisis no publicados realizados en el laboratorio se ha demostrado a través de qPCR que los tres pseudogenes de ratón se expresan, tanto en líneas celulares</w:t>
      </w:r>
      <w:r>
        <w:rPr>
          <w:spacing w:val="-24"/>
        </w:rPr>
        <w:t> </w:t>
      </w:r>
      <w:r>
        <w:rPr/>
        <w:t>germinales como somáticas. No obstante, los niveles de expresión varían según el tipo</w:t>
      </w:r>
      <w:r>
        <w:rPr>
          <w:spacing w:val="5"/>
        </w:rPr>
        <w:t> </w:t>
      </w:r>
      <w:r>
        <w:rPr/>
        <w:t>celular.</w:t>
      </w:r>
    </w:p>
    <w:p>
      <w:pPr>
        <w:pStyle w:val="BodyText"/>
        <w:spacing w:before="3"/>
        <w:rPr>
          <w:sz w:val="35"/>
        </w:rPr>
      </w:pPr>
    </w:p>
    <w:p>
      <w:pPr>
        <w:pStyle w:val="BodyText"/>
        <w:spacing w:line="360" w:lineRule="auto"/>
        <w:ind w:left="119" w:right="1335" w:firstLine="302"/>
        <w:jc w:val="both"/>
      </w:pPr>
      <w:r>
        <w:rPr/>
        <w:t>Se cree que una potencial función de los pseudogenes es la de interferir con los mecanismos que regulan la estabilidad del mRNA. Los pseudogenes atraerían a modo de señuelo a los miRNAs que se unen a los mRNA. De esta manera se altera la acción de los miRNAs sobre los mRNAs y por tanto varía el nivel de expresión de estos</w:t>
      </w:r>
      <w:r>
        <w:rPr>
          <w:spacing w:val="-6"/>
        </w:rPr>
        <w:t> </w:t>
      </w:r>
      <w:r>
        <w:rPr/>
        <w:t>últimos.</w:t>
      </w:r>
    </w:p>
    <w:p>
      <w:pPr>
        <w:pStyle w:val="BodyText"/>
        <w:spacing w:before="5"/>
        <w:rPr>
          <w:sz w:val="36"/>
        </w:rPr>
      </w:pPr>
    </w:p>
    <w:p>
      <w:pPr>
        <w:pStyle w:val="BodyText"/>
        <w:spacing w:line="360" w:lineRule="auto"/>
        <w:ind w:left="119" w:right="1333" w:firstLine="302"/>
        <w:jc w:val="both"/>
      </w:pPr>
      <w:r>
        <w:rPr/>
        <w:t>En resumen, la presencia de MREs en la región 3’ UTR del transcrito largo de </w:t>
      </w:r>
      <w:r>
        <w:rPr>
          <w:i/>
        </w:rPr>
        <w:t>Rnf19a </w:t>
      </w:r>
      <w:r>
        <w:rPr/>
        <w:t>y su regulación por algunos microRNAs (Smith, 2016) sumada a la alta similitud con los transcritos</w:t>
      </w:r>
      <w:r>
        <w:rPr>
          <w:spacing w:val="-7"/>
        </w:rPr>
        <w:t> </w:t>
      </w:r>
      <w:r>
        <w:rPr/>
        <w:t>procedentes</w:t>
      </w:r>
      <w:r>
        <w:rPr>
          <w:spacing w:val="-8"/>
        </w:rPr>
        <w:t> </w:t>
      </w:r>
      <w:r>
        <w:rPr/>
        <w:t>de</w:t>
      </w:r>
      <w:r>
        <w:rPr>
          <w:spacing w:val="-6"/>
        </w:rPr>
        <w:t> </w:t>
      </w:r>
      <w:r>
        <w:rPr/>
        <w:t>alguno</w:t>
      </w:r>
      <w:r>
        <w:rPr>
          <w:spacing w:val="-9"/>
        </w:rPr>
        <w:t> </w:t>
      </w:r>
      <w:r>
        <w:rPr/>
        <w:t>o</w:t>
      </w:r>
      <w:r>
        <w:rPr>
          <w:spacing w:val="-10"/>
        </w:rPr>
        <w:t> </w:t>
      </w:r>
      <w:r>
        <w:rPr/>
        <w:t>todos</w:t>
      </w:r>
      <w:r>
        <w:rPr>
          <w:spacing w:val="-7"/>
        </w:rPr>
        <w:t> </w:t>
      </w:r>
      <w:r>
        <w:rPr/>
        <w:t>los</w:t>
      </w:r>
      <w:r>
        <w:rPr>
          <w:spacing w:val="-10"/>
        </w:rPr>
        <w:t> </w:t>
      </w:r>
      <w:r>
        <w:rPr/>
        <w:t>pseudogenes,</w:t>
      </w:r>
      <w:r>
        <w:rPr>
          <w:spacing w:val="-3"/>
        </w:rPr>
        <w:t> </w:t>
      </w:r>
      <w:r>
        <w:rPr/>
        <w:t>nos</w:t>
      </w:r>
      <w:r>
        <w:rPr>
          <w:spacing w:val="-7"/>
        </w:rPr>
        <w:t> </w:t>
      </w:r>
      <w:r>
        <w:rPr/>
        <w:t>lleva</w:t>
      </w:r>
      <w:r>
        <w:rPr>
          <w:spacing w:val="-6"/>
        </w:rPr>
        <w:t> </w:t>
      </w:r>
      <w:r>
        <w:rPr/>
        <w:t>a</w:t>
      </w:r>
      <w:r>
        <w:rPr>
          <w:spacing w:val="-11"/>
        </w:rPr>
        <w:t> </w:t>
      </w:r>
      <w:r>
        <w:rPr/>
        <w:t>pensar</w:t>
      </w:r>
      <w:r>
        <w:rPr>
          <w:spacing w:val="2"/>
        </w:rPr>
        <w:t> </w:t>
      </w:r>
      <w:r>
        <w:rPr/>
        <w:t>que</w:t>
      </w:r>
      <w:r>
        <w:rPr>
          <w:spacing w:val="-11"/>
        </w:rPr>
        <w:t> </w:t>
      </w:r>
      <w:r>
        <w:rPr/>
        <w:t>estaríamos ante un caso de red de regulación tipo</w:t>
      </w:r>
      <w:r>
        <w:rPr>
          <w:spacing w:val="1"/>
        </w:rPr>
        <w:t> </w:t>
      </w:r>
      <w:r>
        <w:rPr/>
        <w:t>ceRNA.</w:t>
      </w:r>
    </w:p>
    <w:p>
      <w:pPr>
        <w:pStyle w:val="BodyText"/>
        <w:spacing w:before="11"/>
        <w:rPr>
          <w:sz w:val="35"/>
        </w:rPr>
      </w:pPr>
    </w:p>
    <w:p>
      <w:pPr>
        <w:pStyle w:val="BodyText"/>
        <w:spacing w:line="360" w:lineRule="auto"/>
        <w:ind w:left="119" w:right="1335" w:firstLine="302"/>
        <w:jc w:val="both"/>
      </w:pPr>
      <w:r>
        <w:rPr/>
        <w:t>Por tanto, es interesante provocar una desregulación de este sistema y ver como la ausencia de los pseudogenes altera la expresión del mRNA de </w:t>
      </w:r>
      <w:r>
        <w:rPr>
          <w:i/>
        </w:rPr>
        <w:t>Rnf19a</w:t>
      </w:r>
      <w:r>
        <w:rPr/>
        <w:t>. Para ello, como primera aproximación, se plantea silenciar la transcripción de los pseudogenes mediante edición genómica de sus promotores y generar líneas celulares estables con cada una de las ediciones (mutaciones).</w:t>
      </w:r>
    </w:p>
    <w:p>
      <w:pPr>
        <w:spacing w:after="0" w:line="360" w:lineRule="auto"/>
        <w:jc w:val="both"/>
        <w:sectPr>
          <w:pgSz w:w="12240" w:h="15840"/>
          <w:pgMar w:header="7" w:footer="0" w:top="1040" w:bottom="280" w:left="1580" w:right="360"/>
        </w:sectPr>
      </w:pPr>
    </w:p>
    <w:p>
      <w:pPr>
        <w:pStyle w:val="ListParagraph"/>
        <w:numPr>
          <w:ilvl w:val="1"/>
          <w:numId w:val="4"/>
        </w:numPr>
        <w:tabs>
          <w:tab w:pos="542" w:val="left" w:leader="none"/>
        </w:tabs>
        <w:spacing w:line="240" w:lineRule="auto" w:before="76" w:after="0"/>
        <w:ind w:left="541" w:right="0" w:hanging="423"/>
        <w:jc w:val="left"/>
        <w:rPr>
          <w:b/>
          <w:sz w:val="28"/>
        </w:rPr>
      </w:pPr>
      <w:bookmarkStart w:name="_TOC_250023" w:id="7"/>
      <w:r>
        <w:rPr>
          <w:b/>
          <w:sz w:val="28"/>
        </w:rPr>
        <w:t>Edición genómica mediante</w:t>
      </w:r>
      <w:r>
        <w:rPr>
          <w:b/>
          <w:spacing w:val="2"/>
          <w:sz w:val="28"/>
        </w:rPr>
        <w:t> </w:t>
      </w:r>
      <w:bookmarkEnd w:id="7"/>
      <w:r>
        <w:rPr>
          <w:b/>
          <w:sz w:val="28"/>
        </w:rPr>
        <w:t>CRISPR</w:t>
      </w:r>
    </w:p>
    <w:p>
      <w:pPr>
        <w:pStyle w:val="BodyText"/>
        <w:rPr>
          <w:b/>
          <w:sz w:val="30"/>
        </w:rPr>
      </w:pPr>
    </w:p>
    <w:p>
      <w:pPr>
        <w:pStyle w:val="BodyText"/>
        <w:spacing w:before="3"/>
        <w:rPr>
          <w:b/>
          <w:sz w:val="26"/>
        </w:rPr>
      </w:pPr>
    </w:p>
    <w:p>
      <w:pPr>
        <w:pStyle w:val="BodyText"/>
        <w:spacing w:line="362" w:lineRule="auto"/>
        <w:ind w:left="119" w:right="1336" w:firstLine="302"/>
        <w:jc w:val="both"/>
      </w:pPr>
      <w:r>
        <w:rPr/>
        <w:t>El método por el cual se realizará la edición genómica será el de CRISPR (clustered regularly</w:t>
      </w:r>
      <w:r>
        <w:rPr>
          <w:spacing w:val="-11"/>
        </w:rPr>
        <w:t> </w:t>
      </w:r>
      <w:r>
        <w:rPr/>
        <w:t>interspaced</w:t>
      </w:r>
      <w:r>
        <w:rPr>
          <w:spacing w:val="-6"/>
        </w:rPr>
        <w:t> </w:t>
      </w:r>
      <w:r>
        <w:rPr/>
        <w:t>short</w:t>
      </w:r>
      <w:r>
        <w:rPr>
          <w:spacing w:val="-8"/>
        </w:rPr>
        <w:t> </w:t>
      </w:r>
      <w:r>
        <w:rPr/>
        <w:t>palindromic</w:t>
      </w:r>
      <w:r>
        <w:rPr>
          <w:spacing w:val="-12"/>
        </w:rPr>
        <w:t> </w:t>
      </w:r>
      <w:r>
        <w:rPr/>
        <w:t>repeats)</w:t>
      </w:r>
      <w:r>
        <w:rPr>
          <w:spacing w:val="-4"/>
        </w:rPr>
        <w:t> </w:t>
      </w:r>
      <w:r>
        <w:rPr/>
        <w:t>asociado</w:t>
      </w:r>
      <w:r>
        <w:rPr>
          <w:spacing w:val="-7"/>
        </w:rPr>
        <w:t> </w:t>
      </w:r>
      <w:r>
        <w:rPr/>
        <w:t>a</w:t>
      </w:r>
      <w:r>
        <w:rPr>
          <w:spacing w:val="-12"/>
        </w:rPr>
        <w:t> </w:t>
      </w:r>
      <w:r>
        <w:rPr/>
        <w:t>la</w:t>
      </w:r>
      <w:r>
        <w:rPr>
          <w:spacing w:val="-6"/>
        </w:rPr>
        <w:t> </w:t>
      </w:r>
      <w:r>
        <w:rPr/>
        <w:t>nucleasa</w:t>
      </w:r>
      <w:r>
        <w:rPr>
          <w:spacing w:val="-8"/>
        </w:rPr>
        <w:t> </w:t>
      </w:r>
      <w:r>
        <w:rPr/>
        <w:t>Cas9.</w:t>
      </w:r>
      <w:r>
        <w:rPr>
          <w:spacing w:val="-8"/>
        </w:rPr>
        <w:t> </w:t>
      </w:r>
      <w:r>
        <w:rPr/>
        <w:t>Este</w:t>
      </w:r>
      <w:r>
        <w:rPr>
          <w:spacing w:val="-11"/>
        </w:rPr>
        <w:t> </w:t>
      </w:r>
      <w:r>
        <w:rPr/>
        <w:t>sistema</w:t>
      </w:r>
      <w:r>
        <w:rPr>
          <w:spacing w:val="-7"/>
        </w:rPr>
        <w:t> </w:t>
      </w:r>
      <w:r>
        <w:rPr/>
        <w:t>ha demostrado ser una potente herramienta de edición genómica (Cong et al.,</w:t>
      </w:r>
      <w:r>
        <w:rPr>
          <w:spacing w:val="8"/>
        </w:rPr>
        <w:t> </w:t>
      </w:r>
      <w:r>
        <w:rPr/>
        <w:t>2013).</w:t>
      </w:r>
    </w:p>
    <w:p>
      <w:pPr>
        <w:pStyle w:val="BodyText"/>
        <w:spacing w:line="360" w:lineRule="auto"/>
        <w:ind w:left="119" w:right="1336" w:firstLine="302"/>
        <w:jc w:val="both"/>
      </w:pPr>
      <w:r>
        <w:rPr/>
        <w:t>La</w:t>
      </w:r>
      <w:r>
        <w:rPr>
          <w:spacing w:val="-7"/>
        </w:rPr>
        <w:t> </w:t>
      </w:r>
      <w:r>
        <w:rPr/>
        <w:t>edición</w:t>
      </w:r>
      <w:r>
        <w:rPr>
          <w:spacing w:val="-6"/>
        </w:rPr>
        <w:t> </w:t>
      </w:r>
      <w:r>
        <w:rPr/>
        <w:t>genómica</w:t>
      </w:r>
      <w:r>
        <w:rPr>
          <w:spacing w:val="-6"/>
        </w:rPr>
        <w:t> </w:t>
      </w:r>
      <w:r>
        <w:rPr/>
        <w:t>mediante</w:t>
      </w:r>
      <w:r>
        <w:rPr>
          <w:spacing w:val="-6"/>
        </w:rPr>
        <w:t> </w:t>
      </w:r>
      <w:r>
        <w:rPr/>
        <w:t>CRISPR</w:t>
      </w:r>
      <w:r>
        <w:rPr>
          <w:spacing w:val="-7"/>
        </w:rPr>
        <w:t> </w:t>
      </w:r>
      <w:r>
        <w:rPr/>
        <w:t>asociada</w:t>
      </w:r>
      <w:r>
        <w:rPr>
          <w:spacing w:val="-7"/>
        </w:rPr>
        <w:t> </w:t>
      </w:r>
      <w:r>
        <w:rPr/>
        <w:t>a</w:t>
      </w:r>
      <w:r>
        <w:rPr>
          <w:spacing w:val="-6"/>
        </w:rPr>
        <w:t> </w:t>
      </w:r>
      <w:r>
        <w:rPr/>
        <w:t>la</w:t>
      </w:r>
      <w:r>
        <w:rPr>
          <w:spacing w:val="-6"/>
        </w:rPr>
        <w:t> </w:t>
      </w:r>
      <w:r>
        <w:rPr/>
        <w:t>nucleasa</w:t>
      </w:r>
      <w:r>
        <w:rPr>
          <w:spacing w:val="-6"/>
        </w:rPr>
        <w:t> </w:t>
      </w:r>
      <w:r>
        <w:rPr/>
        <w:t>Cas9</w:t>
      </w:r>
      <w:r>
        <w:rPr>
          <w:spacing w:val="-6"/>
        </w:rPr>
        <w:t> </w:t>
      </w:r>
      <w:r>
        <w:rPr/>
        <w:t>se</w:t>
      </w:r>
      <w:r>
        <w:rPr>
          <w:spacing w:val="-7"/>
        </w:rPr>
        <w:t> </w:t>
      </w:r>
      <w:r>
        <w:rPr/>
        <w:t>basa</w:t>
      </w:r>
      <w:r>
        <w:rPr>
          <w:spacing w:val="-6"/>
        </w:rPr>
        <w:t> </w:t>
      </w:r>
      <w:r>
        <w:rPr/>
        <w:t>en</w:t>
      </w:r>
      <w:r>
        <w:rPr>
          <w:spacing w:val="-6"/>
        </w:rPr>
        <w:t> </w:t>
      </w:r>
      <w:r>
        <w:rPr/>
        <w:t>el</w:t>
      </w:r>
      <w:r>
        <w:rPr>
          <w:spacing w:val="-4"/>
        </w:rPr>
        <w:t> </w:t>
      </w:r>
      <w:r>
        <w:rPr/>
        <w:t>sistema inmune</w:t>
      </w:r>
      <w:r>
        <w:rPr>
          <w:spacing w:val="-6"/>
        </w:rPr>
        <w:t> </w:t>
      </w:r>
      <w:r>
        <w:rPr/>
        <w:t>adaptativo</w:t>
      </w:r>
      <w:r>
        <w:rPr>
          <w:spacing w:val="-8"/>
        </w:rPr>
        <w:t> </w:t>
      </w:r>
      <w:r>
        <w:rPr/>
        <w:t>microbiano</w:t>
      </w:r>
      <w:r>
        <w:rPr>
          <w:spacing w:val="-9"/>
        </w:rPr>
        <w:t> </w:t>
      </w:r>
      <w:r>
        <w:rPr/>
        <w:t>el</w:t>
      </w:r>
      <w:r>
        <w:rPr>
          <w:spacing w:val="-8"/>
        </w:rPr>
        <w:t> </w:t>
      </w:r>
      <w:r>
        <w:rPr/>
        <w:t>cual</w:t>
      </w:r>
      <w:r>
        <w:rPr>
          <w:spacing w:val="-3"/>
        </w:rPr>
        <w:t> </w:t>
      </w:r>
      <w:r>
        <w:rPr/>
        <w:t>localiza</w:t>
      </w:r>
      <w:r>
        <w:rPr>
          <w:spacing w:val="-10"/>
        </w:rPr>
        <w:t> </w:t>
      </w:r>
      <w:r>
        <w:rPr/>
        <w:t>un</w:t>
      </w:r>
      <w:r>
        <w:rPr>
          <w:spacing w:val="-9"/>
        </w:rPr>
        <w:t> </w:t>
      </w:r>
      <w:r>
        <w:rPr/>
        <w:t>fragmento</w:t>
      </w:r>
      <w:r>
        <w:rPr>
          <w:spacing w:val="-5"/>
        </w:rPr>
        <w:t> </w:t>
      </w:r>
      <w:r>
        <w:rPr/>
        <w:t>de</w:t>
      </w:r>
      <w:r>
        <w:rPr>
          <w:spacing w:val="-5"/>
        </w:rPr>
        <w:t> </w:t>
      </w:r>
      <w:r>
        <w:rPr/>
        <w:t>DNA</w:t>
      </w:r>
      <w:r>
        <w:rPr>
          <w:spacing w:val="-9"/>
        </w:rPr>
        <w:t> </w:t>
      </w:r>
      <w:r>
        <w:rPr/>
        <w:t>mediante</w:t>
      </w:r>
      <w:r>
        <w:rPr>
          <w:spacing w:val="-9"/>
        </w:rPr>
        <w:t> </w:t>
      </w:r>
      <w:r>
        <w:rPr/>
        <w:t>un</w:t>
      </w:r>
      <w:r>
        <w:rPr>
          <w:spacing w:val="-9"/>
        </w:rPr>
        <w:t> </w:t>
      </w:r>
      <w:r>
        <w:rPr/>
        <w:t>RNA</w:t>
      </w:r>
      <w:r>
        <w:rPr>
          <w:spacing w:val="-5"/>
        </w:rPr>
        <w:t> </w:t>
      </w:r>
      <w:r>
        <w:rPr/>
        <w:t>guía que</w:t>
      </w:r>
      <w:r>
        <w:rPr>
          <w:spacing w:val="-1"/>
        </w:rPr>
        <w:t> </w:t>
      </w:r>
      <w:r>
        <w:rPr/>
        <w:t>se</w:t>
      </w:r>
      <w:r>
        <w:rPr>
          <w:spacing w:val="-1"/>
        </w:rPr>
        <w:t> </w:t>
      </w:r>
      <w:r>
        <w:rPr/>
        <w:t>une</w:t>
      </w:r>
      <w:r>
        <w:rPr>
          <w:spacing w:val="-5"/>
        </w:rPr>
        <w:t> </w:t>
      </w:r>
      <w:r>
        <w:rPr/>
        <w:t>a</w:t>
      </w:r>
      <w:r>
        <w:rPr>
          <w:spacing w:val="-6"/>
        </w:rPr>
        <w:t> </w:t>
      </w:r>
      <w:r>
        <w:rPr/>
        <w:t>él</w:t>
      </w:r>
      <w:r>
        <w:rPr>
          <w:spacing w:val="-4"/>
        </w:rPr>
        <w:t> </w:t>
      </w:r>
      <w:r>
        <w:rPr/>
        <w:t>por</w:t>
      </w:r>
      <w:r>
        <w:rPr>
          <w:spacing w:val="-3"/>
        </w:rPr>
        <w:t> </w:t>
      </w:r>
      <w:r>
        <w:rPr/>
        <w:t>complementariedad</w:t>
      </w:r>
      <w:r>
        <w:rPr>
          <w:spacing w:val="-4"/>
        </w:rPr>
        <w:t> </w:t>
      </w:r>
      <w:r>
        <w:rPr/>
        <w:t>de</w:t>
      </w:r>
      <w:r>
        <w:rPr>
          <w:spacing w:val="-1"/>
        </w:rPr>
        <w:t> </w:t>
      </w:r>
      <w:r>
        <w:rPr/>
        <w:t>bases.</w:t>
      </w:r>
      <w:r>
        <w:rPr>
          <w:spacing w:val="-2"/>
        </w:rPr>
        <w:t> </w:t>
      </w:r>
      <w:r>
        <w:rPr/>
        <w:t>Esto atrae</w:t>
      </w:r>
      <w:r>
        <w:rPr>
          <w:spacing w:val="-5"/>
        </w:rPr>
        <w:t> </w:t>
      </w:r>
      <w:r>
        <w:rPr/>
        <w:t>a</w:t>
      </w:r>
      <w:r>
        <w:rPr>
          <w:spacing w:val="-1"/>
        </w:rPr>
        <w:t> </w:t>
      </w:r>
      <w:r>
        <w:rPr/>
        <w:t>la</w:t>
      </w:r>
      <w:r>
        <w:rPr>
          <w:spacing w:val="-5"/>
        </w:rPr>
        <w:t> </w:t>
      </w:r>
      <w:r>
        <w:rPr/>
        <w:t>enzima</w:t>
      </w:r>
      <w:r>
        <w:rPr>
          <w:spacing w:val="-6"/>
        </w:rPr>
        <w:t> </w:t>
      </w:r>
      <w:r>
        <w:rPr/>
        <w:t>Cas9</w:t>
      </w:r>
      <w:r>
        <w:rPr>
          <w:spacing w:val="1"/>
        </w:rPr>
        <w:t> </w:t>
      </w:r>
      <w:r>
        <w:rPr/>
        <w:t>que</w:t>
      </w:r>
      <w:r>
        <w:rPr>
          <w:spacing w:val="-6"/>
        </w:rPr>
        <w:t> </w:t>
      </w:r>
      <w:r>
        <w:rPr/>
        <w:t>corta</w:t>
      </w:r>
      <w:r>
        <w:rPr>
          <w:spacing w:val="-5"/>
        </w:rPr>
        <w:t> </w:t>
      </w:r>
      <w:r>
        <w:rPr/>
        <w:t>junto al sitio de unión RNA-DNA las dos hebras del DNA (Fig.1.6.). Para esto el diseño del RNA guía requiere cumplir de ciertos parámetros, como la presencia del motivo adyacente de protoespaciador (PAM), además de que la secuencia no esté presente en otro punto del genoma</w:t>
      </w:r>
      <w:r>
        <w:rPr>
          <w:spacing w:val="-10"/>
        </w:rPr>
        <w:t> </w:t>
      </w:r>
      <w:r>
        <w:rPr/>
        <w:t>para</w:t>
      </w:r>
      <w:r>
        <w:rPr>
          <w:spacing w:val="-10"/>
        </w:rPr>
        <w:t> </w:t>
      </w:r>
      <w:r>
        <w:rPr/>
        <w:t>así</w:t>
      </w:r>
      <w:r>
        <w:rPr>
          <w:spacing w:val="-8"/>
        </w:rPr>
        <w:t> </w:t>
      </w:r>
      <w:r>
        <w:rPr/>
        <w:t>evitar</w:t>
      </w:r>
      <w:r>
        <w:rPr>
          <w:spacing w:val="-7"/>
        </w:rPr>
        <w:t> </w:t>
      </w:r>
      <w:r>
        <w:rPr/>
        <w:t>cortes</w:t>
      </w:r>
      <w:r>
        <w:rPr>
          <w:spacing w:val="-11"/>
        </w:rPr>
        <w:t> </w:t>
      </w:r>
      <w:r>
        <w:rPr/>
        <w:t>fuera</w:t>
      </w:r>
      <w:r>
        <w:rPr>
          <w:spacing w:val="-10"/>
        </w:rPr>
        <w:t> </w:t>
      </w:r>
      <w:r>
        <w:rPr/>
        <w:t>de</w:t>
      </w:r>
      <w:r>
        <w:rPr>
          <w:spacing w:val="-14"/>
        </w:rPr>
        <w:t> </w:t>
      </w:r>
      <w:r>
        <w:rPr/>
        <w:t>la</w:t>
      </w:r>
      <w:r>
        <w:rPr>
          <w:spacing w:val="-9"/>
        </w:rPr>
        <w:t> </w:t>
      </w:r>
      <w:r>
        <w:rPr/>
        <w:t>diana</w:t>
      </w:r>
      <w:r>
        <w:rPr>
          <w:spacing w:val="-10"/>
        </w:rPr>
        <w:t> </w:t>
      </w:r>
      <w:r>
        <w:rPr/>
        <w:t>seleccionada</w:t>
      </w:r>
      <w:r>
        <w:rPr>
          <w:spacing w:val="-10"/>
        </w:rPr>
        <w:t> </w:t>
      </w:r>
      <w:r>
        <w:rPr/>
        <w:t>(off</w:t>
      </w:r>
      <w:r>
        <w:rPr>
          <w:spacing w:val="-7"/>
        </w:rPr>
        <w:t> </w:t>
      </w:r>
      <w:r>
        <w:rPr/>
        <w:t>target)</w:t>
      </w:r>
      <w:r>
        <w:rPr>
          <w:spacing w:val="-7"/>
        </w:rPr>
        <w:t> </w:t>
      </w:r>
      <w:r>
        <w:rPr/>
        <w:t>(Loureiro</w:t>
      </w:r>
      <w:r>
        <w:rPr>
          <w:spacing w:val="-9"/>
        </w:rPr>
        <w:t> </w:t>
      </w:r>
      <w:r>
        <w:rPr/>
        <w:t>&amp;</w:t>
      </w:r>
      <w:r>
        <w:rPr>
          <w:spacing w:val="-8"/>
        </w:rPr>
        <w:t> </w:t>
      </w:r>
      <w:r>
        <w:rPr/>
        <w:t>da</w:t>
      </w:r>
      <w:r>
        <w:rPr>
          <w:spacing w:val="-14"/>
        </w:rPr>
        <w:t> </w:t>
      </w:r>
      <w:r>
        <w:rPr/>
        <w:t>Silva, 2019).</w:t>
      </w:r>
      <w:r>
        <w:rPr>
          <w:spacing w:val="-8"/>
        </w:rPr>
        <w:t> </w:t>
      </w:r>
      <w:r>
        <w:rPr/>
        <w:t>Posterior</w:t>
      </w:r>
      <w:r>
        <w:rPr>
          <w:spacing w:val="-3"/>
        </w:rPr>
        <w:t> </w:t>
      </w:r>
      <w:r>
        <w:rPr/>
        <w:t>al</w:t>
      </w:r>
      <w:r>
        <w:rPr>
          <w:spacing w:val="-9"/>
        </w:rPr>
        <w:t> </w:t>
      </w:r>
      <w:r>
        <w:rPr/>
        <w:t>corte</w:t>
      </w:r>
      <w:r>
        <w:rPr>
          <w:spacing w:val="-10"/>
        </w:rPr>
        <w:t> </w:t>
      </w:r>
      <w:r>
        <w:rPr/>
        <w:t>realizado</w:t>
      </w:r>
      <w:r>
        <w:rPr>
          <w:spacing w:val="-5"/>
        </w:rPr>
        <w:t> </w:t>
      </w:r>
      <w:r>
        <w:rPr/>
        <w:t>por</w:t>
      </w:r>
      <w:r>
        <w:rPr>
          <w:spacing w:val="-8"/>
        </w:rPr>
        <w:t> </w:t>
      </w:r>
      <w:r>
        <w:rPr/>
        <w:t>Cas9</w:t>
      </w:r>
      <w:r>
        <w:rPr>
          <w:spacing w:val="-5"/>
        </w:rPr>
        <w:t> </w:t>
      </w:r>
      <w:r>
        <w:rPr/>
        <w:t>en</w:t>
      </w:r>
      <w:r>
        <w:rPr>
          <w:spacing w:val="-5"/>
        </w:rPr>
        <w:t> </w:t>
      </w:r>
      <w:r>
        <w:rPr/>
        <w:t>ambas</w:t>
      </w:r>
      <w:r>
        <w:rPr>
          <w:spacing w:val="-7"/>
        </w:rPr>
        <w:t> </w:t>
      </w:r>
      <w:r>
        <w:rPr/>
        <w:t>hebras</w:t>
      </w:r>
      <w:r>
        <w:rPr>
          <w:spacing w:val="-7"/>
        </w:rPr>
        <w:t> </w:t>
      </w:r>
      <w:r>
        <w:rPr/>
        <w:t>de</w:t>
      </w:r>
      <w:r>
        <w:rPr>
          <w:spacing w:val="-6"/>
        </w:rPr>
        <w:t> </w:t>
      </w:r>
      <w:r>
        <w:rPr/>
        <w:t>DNA,</w:t>
      </w:r>
      <w:r>
        <w:rPr>
          <w:spacing w:val="-3"/>
        </w:rPr>
        <w:t> </w:t>
      </w:r>
      <w:r>
        <w:rPr/>
        <w:t>este</w:t>
      </w:r>
      <w:r>
        <w:rPr>
          <w:spacing w:val="-5"/>
        </w:rPr>
        <w:t> </w:t>
      </w:r>
      <w:r>
        <w:rPr/>
        <w:t>será reparado</w:t>
      </w:r>
      <w:r>
        <w:rPr>
          <w:spacing w:val="-5"/>
        </w:rPr>
        <w:t> </w:t>
      </w:r>
      <w:r>
        <w:rPr/>
        <w:t>por la maquinaria de reparación celular. De esta manera, este sistema se ha usado para silenciar genes, mediante la eliminación de secuencias necesarias para la expresión de un gen (knockout), así como también para insertar un nuevo gen en una región específica</w:t>
      </w:r>
      <w:r>
        <w:rPr>
          <w:spacing w:val="-25"/>
        </w:rPr>
        <w:t> </w:t>
      </w:r>
      <w:r>
        <w:rPr/>
        <w:t>(knockin) (Hsu et al.,</w:t>
      </w:r>
      <w:r>
        <w:rPr>
          <w:spacing w:val="8"/>
        </w:rPr>
        <w:t> </w:t>
      </w:r>
      <w:r>
        <w:rPr/>
        <w:t>2014).</w:t>
      </w:r>
    </w:p>
    <w:p>
      <w:pPr>
        <w:pStyle w:val="BodyText"/>
        <w:spacing w:line="360" w:lineRule="auto"/>
        <w:ind w:left="119" w:right="1333" w:firstLine="365"/>
        <w:jc w:val="both"/>
      </w:pPr>
      <w:r>
        <w:rPr/>
        <w:t>La herramienta CRISPR/Cas destaca a la hora de editar genes que codifican para proteínas ya que con un solo gRNA que induzca mutaciones de tipo inserción/ deleción (indel) en el marco abierto de lectura (ORF) del gen en cuestión, normalmente se obtiene la pérdida de función de este (Shalem et al., 2014). En el caso de los pseudogenes, la eliminación o inserción de un fragmento pequeño de la secuencia no será suficiente para inducir el silenciamiento, a no ser que se edite la región promotora del mismo. Por esto, utilizar de un par de gRNAs que realicen cortes de manera simultánea a lo largo de la secuencia</w:t>
      </w:r>
      <w:r>
        <w:rPr>
          <w:spacing w:val="-5"/>
        </w:rPr>
        <w:t> </w:t>
      </w:r>
      <w:r>
        <w:rPr/>
        <w:t>promotora</w:t>
      </w:r>
      <w:r>
        <w:rPr>
          <w:spacing w:val="-5"/>
        </w:rPr>
        <w:t> </w:t>
      </w:r>
      <w:r>
        <w:rPr/>
        <w:t>del</w:t>
      </w:r>
      <w:r>
        <w:rPr>
          <w:spacing w:val="-3"/>
        </w:rPr>
        <w:t> </w:t>
      </w:r>
      <w:r>
        <w:rPr/>
        <w:t>pseudogen</w:t>
      </w:r>
      <w:r>
        <w:rPr>
          <w:spacing w:val="-4"/>
        </w:rPr>
        <w:t> </w:t>
      </w:r>
      <w:r>
        <w:rPr/>
        <w:t>para</w:t>
      </w:r>
      <w:r>
        <w:rPr>
          <w:spacing w:val="-5"/>
        </w:rPr>
        <w:t> </w:t>
      </w:r>
      <w:r>
        <w:rPr/>
        <w:t>eliminar</w:t>
      </w:r>
      <w:r>
        <w:rPr>
          <w:spacing w:val="-7"/>
        </w:rPr>
        <w:t> </w:t>
      </w:r>
      <w:r>
        <w:rPr/>
        <w:t>una</w:t>
      </w:r>
      <w:r>
        <w:rPr>
          <w:spacing w:val="-5"/>
        </w:rPr>
        <w:t> </w:t>
      </w:r>
      <w:r>
        <w:rPr/>
        <w:t>porción</w:t>
      </w:r>
      <w:r>
        <w:rPr>
          <w:spacing w:val="-3"/>
        </w:rPr>
        <w:t> </w:t>
      </w:r>
      <w:r>
        <w:rPr/>
        <w:t>de</w:t>
      </w:r>
      <w:r>
        <w:rPr>
          <w:spacing w:val="-5"/>
        </w:rPr>
        <w:t> </w:t>
      </w:r>
      <w:r>
        <w:rPr/>
        <w:t>cientos</w:t>
      </w:r>
      <w:r>
        <w:rPr>
          <w:spacing w:val="-6"/>
        </w:rPr>
        <w:t> </w:t>
      </w:r>
      <w:r>
        <w:rPr/>
        <w:t>o</w:t>
      </w:r>
      <w:r>
        <w:rPr>
          <w:spacing w:val="-4"/>
        </w:rPr>
        <w:t> </w:t>
      </w:r>
      <w:r>
        <w:rPr/>
        <w:t>miles</w:t>
      </w:r>
      <w:r>
        <w:rPr>
          <w:spacing w:val="-7"/>
        </w:rPr>
        <w:t> </w:t>
      </w:r>
      <w:r>
        <w:rPr/>
        <w:t>de</w:t>
      </w:r>
      <w:r>
        <w:rPr>
          <w:spacing w:val="-5"/>
        </w:rPr>
        <w:t> </w:t>
      </w:r>
      <w:r>
        <w:rPr/>
        <w:t>pares</w:t>
      </w:r>
      <w:r>
        <w:rPr>
          <w:spacing w:val="-6"/>
        </w:rPr>
        <w:t> </w:t>
      </w:r>
      <w:r>
        <w:rPr/>
        <w:t>de bases, nos asegura que el transcrito del pseudogen no podrá expresarse (Ho et al.,</w:t>
      </w:r>
      <w:r>
        <w:rPr>
          <w:spacing w:val="-3"/>
        </w:rPr>
        <w:t> </w:t>
      </w:r>
      <w:r>
        <w:rPr/>
        <w:t>2015).</w:t>
      </w:r>
    </w:p>
    <w:p>
      <w:pPr>
        <w:spacing w:after="0" w:line="360" w:lineRule="auto"/>
        <w:jc w:val="both"/>
        <w:sectPr>
          <w:pgSz w:w="12240" w:h="15840"/>
          <w:pgMar w:header="7" w:footer="0" w:top="1040" w:bottom="280" w:left="1580" w:right="360"/>
        </w:sectPr>
      </w:pPr>
    </w:p>
    <w:p>
      <w:pPr>
        <w:pStyle w:val="BodyText"/>
        <w:spacing w:before="2"/>
        <w:rPr>
          <w:sz w:val="27"/>
        </w:rPr>
      </w:pPr>
    </w:p>
    <w:p>
      <w:pPr>
        <w:pStyle w:val="BodyText"/>
        <w:ind w:left="802"/>
        <w:rPr>
          <w:sz w:val="20"/>
        </w:rPr>
      </w:pPr>
      <w:r>
        <w:rPr>
          <w:sz w:val="20"/>
        </w:rPr>
        <w:drawing>
          <wp:inline distT="0" distB="0" distL="0" distR="0">
            <wp:extent cx="4767425" cy="3261455"/>
            <wp:effectExtent l="0" t="0" r="0" b="0"/>
            <wp:docPr id="13" name="image7.jpeg"/>
            <wp:cNvGraphicFramePr>
              <a:graphicFrameLocks noChangeAspect="1"/>
            </wp:cNvGraphicFramePr>
            <a:graphic>
              <a:graphicData uri="http://schemas.openxmlformats.org/drawingml/2006/picture">
                <pic:pic>
                  <pic:nvPicPr>
                    <pic:cNvPr id="14" name="image7.jpeg"/>
                    <pic:cNvPicPr/>
                  </pic:nvPicPr>
                  <pic:blipFill>
                    <a:blip r:embed="rId14" cstate="print"/>
                    <a:stretch>
                      <a:fillRect/>
                    </a:stretch>
                  </pic:blipFill>
                  <pic:spPr>
                    <a:xfrm>
                      <a:off x="0" y="0"/>
                      <a:ext cx="4767425" cy="3261455"/>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10"/>
        <w:rPr>
          <w:sz w:val="15"/>
        </w:rPr>
      </w:pPr>
    </w:p>
    <w:p>
      <w:pPr>
        <w:spacing w:line="360" w:lineRule="auto" w:before="90"/>
        <w:ind w:left="119" w:right="1336" w:firstLine="0"/>
        <w:jc w:val="both"/>
        <w:rPr>
          <w:sz w:val="24"/>
        </w:rPr>
      </w:pPr>
      <w:r>
        <w:rPr>
          <w:sz w:val="24"/>
        </w:rPr>
        <w:t>Figura 1.5. </w:t>
      </w:r>
      <w:r>
        <w:rPr>
          <w:i/>
          <w:sz w:val="24"/>
        </w:rPr>
        <w:t>CRISPR-Cas9 cortando la doble hebra objetivo. </w:t>
      </w:r>
      <w:r>
        <w:rPr>
          <w:sz w:val="24"/>
        </w:rPr>
        <w:t>El corte (marcado por tijeras negras) ocurre en ambas hebras 3 pares de bases río arriba de la secuencia del motivo protoespaciador adyacente (PAM) NGG en el extremo 3’ de la secuencia destino (señalada con línea curva roja). (</w:t>
      </w:r>
      <w:r>
        <w:rPr>
          <w:i/>
          <w:sz w:val="24"/>
        </w:rPr>
        <w:t>GeneArt CRISPR Nuclease Vectors - CL</w:t>
      </w:r>
      <w:r>
        <w:rPr>
          <w:sz w:val="24"/>
        </w:rPr>
        <w:t>, s. f.)).</w:t>
      </w:r>
    </w:p>
    <w:p>
      <w:pPr>
        <w:pStyle w:val="BodyText"/>
        <w:rPr>
          <w:sz w:val="36"/>
        </w:rPr>
      </w:pPr>
    </w:p>
    <w:p>
      <w:pPr>
        <w:pStyle w:val="BodyText"/>
        <w:spacing w:line="360" w:lineRule="auto"/>
        <w:ind w:left="119" w:right="1334" w:firstLine="302"/>
        <w:jc w:val="both"/>
      </w:pPr>
      <w:r>
        <w:rPr/>
        <w:t>Como</w:t>
      </w:r>
      <w:r>
        <w:rPr>
          <w:spacing w:val="-5"/>
        </w:rPr>
        <w:t> </w:t>
      </w:r>
      <w:r>
        <w:rPr/>
        <w:t>hemos</w:t>
      </w:r>
      <w:r>
        <w:rPr>
          <w:spacing w:val="-12"/>
        </w:rPr>
        <w:t> </w:t>
      </w:r>
      <w:r>
        <w:rPr/>
        <w:t>visto,</w:t>
      </w:r>
      <w:r>
        <w:rPr>
          <w:spacing w:val="-6"/>
        </w:rPr>
        <w:t> </w:t>
      </w:r>
      <w:r>
        <w:rPr>
          <w:i/>
        </w:rPr>
        <w:t>Rnf19a</w:t>
      </w:r>
      <w:r>
        <w:rPr>
          <w:i/>
          <w:spacing w:val="-9"/>
        </w:rPr>
        <w:t> </w:t>
      </w:r>
      <w:r>
        <w:rPr/>
        <w:t>tiene</w:t>
      </w:r>
      <w:r>
        <w:rPr>
          <w:spacing w:val="-11"/>
        </w:rPr>
        <w:t> </w:t>
      </w:r>
      <w:r>
        <w:rPr/>
        <w:t>un</w:t>
      </w:r>
      <w:r>
        <w:rPr>
          <w:spacing w:val="-10"/>
        </w:rPr>
        <w:t> </w:t>
      </w:r>
      <w:r>
        <w:rPr/>
        <w:t>gen</w:t>
      </w:r>
      <w:r>
        <w:rPr>
          <w:spacing w:val="-11"/>
        </w:rPr>
        <w:t> </w:t>
      </w:r>
      <w:r>
        <w:rPr/>
        <w:t>y</w:t>
      </w:r>
      <w:r>
        <w:rPr>
          <w:spacing w:val="-10"/>
        </w:rPr>
        <w:t> </w:t>
      </w:r>
      <w:r>
        <w:rPr/>
        <w:t>tres</w:t>
      </w:r>
      <w:r>
        <w:rPr>
          <w:spacing w:val="-8"/>
        </w:rPr>
        <w:t> </w:t>
      </w:r>
      <w:r>
        <w:rPr/>
        <w:t>pseudogenes.</w:t>
      </w:r>
      <w:r>
        <w:rPr>
          <w:spacing w:val="-3"/>
        </w:rPr>
        <w:t> </w:t>
      </w:r>
      <w:r>
        <w:rPr/>
        <w:t>Además,</w:t>
      </w:r>
      <w:r>
        <w:rPr>
          <w:spacing w:val="-1"/>
        </w:rPr>
        <w:t> </w:t>
      </w:r>
      <w:r>
        <w:rPr/>
        <w:t>presenta</w:t>
      </w:r>
      <w:r>
        <w:rPr>
          <w:spacing w:val="-6"/>
        </w:rPr>
        <w:t> </w:t>
      </w:r>
      <w:r>
        <w:rPr/>
        <w:t>regulación por miRNAs que potencialmente se unirían también a los transcritos de los pseudogenes. Esto daría cuenta de una posible red de regulación tipo ceRNA, en la que participarían </w:t>
      </w:r>
      <w:r>
        <w:rPr>
          <w:i/>
        </w:rPr>
        <w:t>Rnf19a</w:t>
      </w:r>
      <w:r>
        <w:rPr/>
        <w:t>,</w:t>
      </w:r>
      <w:r>
        <w:rPr>
          <w:spacing w:val="-7"/>
        </w:rPr>
        <w:t> </w:t>
      </w:r>
      <w:r>
        <w:rPr/>
        <w:t>alguno</w:t>
      </w:r>
      <w:r>
        <w:rPr>
          <w:spacing w:val="-8"/>
        </w:rPr>
        <w:t> </w:t>
      </w:r>
      <w:r>
        <w:rPr/>
        <w:t>o</w:t>
      </w:r>
      <w:r>
        <w:rPr>
          <w:spacing w:val="-9"/>
        </w:rPr>
        <w:t> </w:t>
      </w:r>
      <w:r>
        <w:rPr/>
        <w:t>todos</w:t>
      </w:r>
      <w:r>
        <w:rPr>
          <w:spacing w:val="-9"/>
        </w:rPr>
        <w:t> </w:t>
      </w:r>
      <w:r>
        <w:rPr/>
        <w:t>sus</w:t>
      </w:r>
      <w:r>
        <w:rPr>
          <w:spacing w:val="-11"/>
        </w:rPr>
        <w:t> </w:t>
      </w:r>
      <w:r>
        <w:rPr/>
        <w:t>pseudogenes</w:t>
      </w:r>
      <w:r>
        <w:rPr>
          <w:spacing w:val="-10"/>
        </w:rPr>
        <w:t> </w:t>
      </w:r>
      <w:r>
        <w:rPr/>
        <w:t>y</w:t>
      </w:r>
      <w:r>
        <w:rPr>
          <w:spacing w:val="-9"/>
        </w:rPr>
        <w:t> </w:t>
      </w:r>
      <w:r>
        <w:rPr/>
        <w:t>los</w:t>
      </w:r>
      <w:r>
        <w:rPr>
          <w:spacing w:val="-10"/>
        </w:rPr>
        <w:t> </w:t>
      </w:r>
      <w:r>
        <w:rPr/>
        <w:t>miRNAs</w:t>
      </w:r>
      <w:r>
        <w:rPr>
          <w:spacing w:val="-10"/>
        </w:rPr>
        <w:t> </w:t>
      </w:r>
      <w:r>
        <w:rPr/>
        <w:t>que</w:t>
      </w:r>
      <w:r>
        <w:rPr>
          <w:spacing w:val="-10"/>
        </w:rPr>
        <w:t> </w:t>
      </w:r>
      <w:r>
        <w:rPr/>
        <w:t>se</w:t>
      </w:r>
      <w:r>
        <w:rPr>
          <w:spacing w:val="-10"/>
        </w:rPr>
        <w:t> </w:t>
      </w:r>
      <w:r>
        <w:rPr/>
        <w:t>unieran</w:t>
      </w:r>
      <w:r>
        <w:rPr>
          <w:spacing w:val="-8"/>
        </w:rPr>
        <w:t> </w:t>
      </w:r>
      <w:r>
        <w:rPr/>
        <w:t>a</w:t>
      </w:r>
      <w:r>
        <w:rPr>
          <w:spacing w:val="-10"/>
        </w:rPr>
        <w:t> </w:t>
      </w:r>
      <w:r>
        <w:rPr/>
        <w:t>ellos.</w:t>
      </w:r>
      <w:r>
        <w:rPr>
          <w:spacing w:val="-7"/>
        </w:rPr>
        <w:t> </w:t>
      </w:r>
      <w:r>
        <w:rPr/>
        <w:t>Como</w:t>
      </w:r>
      <w:r>
        <w:rPr>
          <w:spacing w:val="-7"/>
        </w:rPr>
        <w:t> </w:t>
      </w:r>
      <w:r>
        <w:rPr/>
        <w:t>primera aproximación para probar la existencia de esta red, planteamos la edición genómica de los promotores de los pseudogenes y la generación de líneas celulares germinales y somáticas editadas para estos pseudogenes.</w:t>
      </w:r>
    </w:p>
    <w:p>
      <w:pPr>
        <w:pStyle w:val="BodyText"/>
        <w:spacing w:line="360" w:lineRule="auto" w:before="2"/>
        <w:ind w:left="119" w:right="1336" w:firstLine="302"/>
        <w:jc w:val="both"/>
      </w:pPr>
      <w:r>
        <w:rPr/>
        <w:t>Dada la naturaleza de este trabajo (descriptivo experimental), no contamos con</w:t>
      </w:r>
      <w:r>
        <w:rPr>
          <w:spacing w:val="-28"/>
        </w:rPr>
        <w:t> </w:t>
      </w:r>
      <w:r>
        <w:rPr/>
        <w:t>hipótesis, sino que planteamos un objetivo</w:t>
      </w:r>
      <w:r>
        <w:rPr>
          <w:spacing w:val="6"/>
        </w:rPr>
        <w:t> </w:t>
      </w:r>
      <w:r>
        <w:rPr/>
        <w:t>general:</w:t>
      </w:r>
    </w:p>
    <w:p>
      <w:pPr>
        <w:spacing w:after="0" w:line="360" w:lineRule="auto"/>
        <w:jc w:val="both"/>
        <w:sectPr>
          <w:pgSz w:w="12240" w:h="15840"/>
          <w:pgMar w:header="7" w:footer="0" w:top="1040" w:bottom="280" w:left="1580" w:right="360"/>
        </w:sectPr>
      </w:pPr>
    </w:p>
    <w:p>
      <w:pPr>
        <w:pStyle w:val="Heading1"/>
      </w:pPr>
      <w:bookmarkStart w:name="_TOC_250022" w:id="8"/>
      <w:bookmarkEnd w:id="8"/>
      <w:r>
        <w:rPr/>
        <w:t>2.- Objetivo general de la propuesta</w:t>
      </w:r>
    </w:p>
    <w:p>
      <w:pPr>
        <w:pStyle w:val="BodyText"/>
        <w:spacing w:before="8"/>
        <w:rPr>
          <w:b/>
          <w:sz w:val="36"/>
        </w:rPr>
      </w:pPr>
    </w:p>
    <w:p>
      <w:pPr>
        <w:pStyle w:val="BodyText"/>
        <w:spacing w:line="360" w:lineRule="auto"/>
        <w:ind w:left="119" w:right="1337"/>
      </w:pPr>
      <w:r>
        <w:rPr/>
        <w:t>“Generar</w:t>
      </w:r>
      <w:r>
        <w:rPr>
          <w:spacing w:val="-8"/>
        </w:rPr>
        <w:t> </w:t>
      </w:r>
      <w:r>
        <w:rPr/>
        <w:t>un</w:t>
      </w:r>
      <w:r>
        <w:rPr>
          <w:spacing w:val="-10"/>
        </w:rPr>
        <w:t> </w:t>
      </w:r>
      <w:r>
        <w:rPr/>
        <w:t>modelo</w:t>
      </w:r>
      <w:r>
        <w:rPr>
          <w:spacing w:val="-13"/>
        </w:rPr>
        <w:t> </w:t>
      </w:r>
      <w:r>
        <w:rPr/>
        <w:t>de</w:t>
      </w:r>
      <w:r>
        <w:rPr>
          <w:spacing w:val="-11"/>
        </w:rPr>
        <w:t> </w:t>
      </w:r>
      <w:r>
        <w:rPr/>
        <w:t>estudio</w:t>
      </w:r>
      <w:r>
        <w:rPr>
          <w:spacing w:val="-14"/>
        </w:rPr>
        <w:t> </w:t>
      </w:r>
      <w:r>
        <w:rPr/>
        <w:t>mediante</w:t>
      </w:r>
      <w:r>
        <w:rPr>
          <w:spacing w:val="-9"/>
        </w:rPr>
        <w:t> </w:t>
      </w:r>
      <w:r>
        <w:rPr/>
        <w:t>la</w:t>
      </w:r>
      <w:r>
        <w:rPr>
          <w:spacing w:val="-15"/>
        </w:rPr>
        <w:t> </w:t>
      </w:r>
      <w:r>
        <w:rPr/>
        <w:t>supresión</w:t>
      </w:r>
      <w:r>
        <w:rPr>
          <w:spacing w:val="-9"/>
        </w:rPr>
        <w:t> </w:t>
      </w:r>
      <w:r>
        <w:rPr/>
        <w:t>de</w:t>
      </w:r>
      <w:r>
        <w:rPr>
          <w:spacing w:val="-11"/>
        </w:rPr>
        <w:t> </w:t>
      </w:r>
      <w:r>
        <w:rPr/>
        <w:t>la</w:t>
      </w:r>
      <w:r>
        <w:rPr>
          <w:spacing w:val="-15"/>
        </w:rPr>
        <w:t> </w:t>
      </w:r>
      <w:r>
        <w:rPr/>
        <w:t>expresión</w:t>
      </w:r>
      <w:r>
        <w:rPr>
          <w:spacing w:val="-8"/>
        </w:rPr>
        <w:t> </w:t>
      </w:r>
      <w:r>
        <w:rPr/>
        <w:t>de</w:t>
      </w:r>
      <w:r>
        <w:rPr>
          <w:spacing w:val="-15"/>
        </w:rPr>
        <w:t> </w:t>
      </w:r>
      <w:r>
        <w:rPr/>
        <w:t>los</w:t>
      </w:r>
      <w:r>
        <w:rPr>
          <w:spacing w:val="-10"/>
        </w:rPr>
        <w:t> </w:t>
      </w:r>
      <w:r>
        <w:rPr/>
        <w:t>tres</w:t>
      </w:r>
      <w:r>
        <w:rPr>
          <w:spacing w:val="-12"/>
        </w:rPr>
        <w:t> </w:t>
      </w:r>
      <w:r>
        <w:rPr/>
        <w:t>pseudogenes del gen parental </w:t>
      </w:r>
      <w:r>
        <w:rPr>
          <w:i/>
        </w:rPr>
        <w:t>Rnf19a </w:t>
      </w:r>
      <w:r>
        <w:rPr/>
        <w:t>mediante edición genética de sus</w:t>
      </w:r>
      <w:r>
        <w:rPr>
          <w:spacing w:val="-2"/>
        </w:rPr>
        <w:t> </w:t>
      </w:r>
      <w:r>
        <w:rPr/>
        <w:t>promotores”</w:t>
      </w:r>
    </w:p>
    <w:p>
      <w:pPr>
        <w:pStyle w:val="BodyText"/>
        <w:spacing w:before="2"/>
        <w:rPr>
          <w:sz w:val="21"/>
        </w:rPr>
      </w:pPr>
    </w:p>
    <w:p>
      <w:pPr>
        <w:pStyle w:val="BodyText"/>
        <w:ind w:left="119"/>
      </w:pPr>
      <w:r>
        <w:rPr/>
        <w:t>OE1: Diseñar una pareja de gRNA por cada pseudogen a editar.</w:t>
      </w:r>
    </w:p>
    <w:p>
      <w:pPr>
        <w:pStyle w:val="BodyText"/>
        <w:rPr>
          <w:sz w:val="26"/>
        </w:rPr>
      </w:pPr>
    </w:p>
    <w:p>
      <w:pPr>
        <w:pStyle w:val="BodyText"/>
        <w:spacing w:before="9"/>
        <w:rPr>
          <w:sz w:val="21"/>
        </w:rPr>
      </w:pPr>
    </w:p>
    <w:p>
      <w:pPr>
        <w:pStyle w:val="BodyText"/>
        <w:spacing w:line="360" w:lineRule="auto"/>
        <w:ind w:left="119" w:right="1311"/>
      </w:pPr>
      <w:r>
        <w:rPr/>
        <w:t>OE2: Editar genéticamente los promotores de los tres pseudogenes de </w:t>
      </w:r>
      <w:r>
        <w:rPr>
          <w:i/>
        </w:rPr>
        <w:t>Rnf19a </w:t>
      </w:r>
      <w:r>
        <w:rPr/>
        <w:t>mediante la transfección de parejas de gRNAs.</w:t>
      </w:r>
    </w:p>
    <w:p>
      <w:pPr>
        <w:pStyle w:val="BodyText"/>
        <w:spacing w:before="1"/>
        <w:rPr>
          <w:sz w:val="36"/>
        </w:rPr>
      </w:pPr>
    </w:p>
    <w:p>
      <w:pPr>
        <w:pStyle w:val="BodyText"/>
        <w:spacing w:before="1"/>
        <w:ind w:left="119"/>
      </w:pPr>
      <w:r>
        <w:rPr/>
        <w:t>OE3: Comprobar la edición genética mediante PCR convencional.</w:t>
      </w:r>
    </w:p>
    <w:p>
      <w:pPr>
        <w:spacing w:after="0"/>
        <w:sectPr>
          <w:pgSz w:w="12240" w:h="15840"/>
          <w:pgMar w:header="7" w:footer="0" w:top="1040" w:bottom="280" w:left="1580" w:right="360"/>
        </w:sectPr>
      </w:pPr>
    </w:p>
    <w:p>
      <w:pPr>
        <w:pStyle w:val="Heading1"/>
      </w:pPr>
      <w:bookmarkStart w:name="_TOC_250021" w:id="9"/>
      <w:bookmarkEnd w:id="9"/>
      <w:r>
        <w:rPr/>
        <w:t>3.- Materiales y métodos.</w:t>
      </w:r>
    </w:p>
    <w:p>
      <w:pPr>
        <w:pStyle w:val="BodyText"/>
        <w:spacing w:before="5"/>
        <w:rPr>
          <w:b/>
          <w:sz w:val="48"/>
        </w:rPr>
      </w:pPr>
    </w:p>
    <w:p>
      <w:pPr>
        <w:spacing w:before="1"/>
        <w:ind w:left="119" w:right="0" w:firstLine="0"/>
        <w:jc w:val="left"/>
        <w:rPr>
          <w:b/>
          <w:sz w:val="28"/>
        </w:rPr>
      </w:pPr>
      <w:bookmarkStart w:name="_TOC_250020" w:id="10"/>
      <w:bookmarkEnd w:id="10"/>
      <w:r>
        <w:rPr>
          <w:b/>
          <w:sz w:val="28"/>
        </w:rPr>
        <w:t>3.1.-Metodología:</w:t>
      </w:r>
    </w:p>
    <w:p>
      <w:pPr>
        <w:pStyle w:val="BodyText"/>
        <w:rPr>
          <w:b/>
          <w:sz w:val="30"/>
        </w:rPr>
      </w:pPr>
    </w:p>
    <w:p>
      <w:pPr>
        <w:pStyle w:val="ListParagraph"/>
        <w:numPr>
          <w:ilvl w:val="2"/>
          <w:numId w:val="5"/>
        </w:numPr>
        <w:tabs>
          <w:tab w:pos="662" w:val="left" w:leader="none"/>
        </w:tabs>
        <w:spacing w:line="240" w:lineRule="auto" w:before="235" w:after="0"/>
        <w:ind w:left="661" w:right="0" w:hanging="543"/>
        <w:jc w:val="left"/>
        <w:rPr>
          <w:b/>
          <w:sz w:val="24"/>
        </w:rPr>
      </w:pPr>
      <w:bookmarkStart w:name="_TOC_250019" w:id="11"/>
      <w:r>
        <w:rPr>
          <w:b/>
          <w:sz w:val="24"/>
        </w:rPr>
        <w:t>Líneas</w:t>
      </w:r>
      <w:r>
        <w:rPr>
          <w:b/>
          <w:spacing w:val="-1"/>
          <w:sz w:val="24"/>
        </w:rPr>
        <w:t> </w:t>
      </w:r>
      <w:bookmarkEnd w:id="11"/>
      <w:r>
        <w:rPr>
          <w:b/>
          <w:sz w:val="24"/>
        </w:rPr>
        <w:t>celulares:</w:t>
      </w:r>
    </w:p>
    <w:p>
      <w:pPr>
        <w:pStyle w:val="BodyText"/>
        <w:spacing w:line="360" w:lineRule="auto" w:before="136"/>
        <w:ind w:left="119" w:right="1357" w:firstLine="302"/>
      </w:pPr>
      <w:r>
        <w:rPr/>
        <w:t>Para realizar el estudio se utilizaron las líneas celulares establecidas GC-1spg (ATCC ® CRL-2053™) y GC-2spd (ATCC ® CRL-2196™) derivadas de células germinales de ratón en estadio de espermatogonia tipo B y espermatocitos detenidos en estadio premeiótico respectivamente. También se usó la línea celular establecida NIH-3T3 (ATCC ® CRL- 1658™) correspondientes a células somáticas derivadas de fibroblastos de ratón.</w:t>
      </w:r>
    </w:p>
    <w:p>
      <w:pPr>
        <w:pStyle w:val="ListParagraph"/>
        <w:numPr>
          <w:ilvl w:val="2"/>
          <w:numId w:val="5"/>
        </w:numPr>
        <w:tabs>
          <w:tab w:pos="782" w:val="left" w:leader="none"/>
        </w:tabs>
        <w:spacing w:line="240" w:lineRule="auto" w:before="125" w:after="0"/>
        <w:ind w:left="781" w:right="0" w:hanging="538"/>
        <w:jc w:val="left"/>
        <w:rPr>
          <w:b/>
          <w:sz w:val="24"/>
        </w:rPr>
      </w:pPr>
      <w:bookmarkStart w:name="_TOC_250018" w:id="12"/>
      <w:r>
        <w:rPr>
          <w:b/>
          <w:sz w:val="24"/>
        </w:rPr>
        <w:t>Cultivo</w:t>
      </w:r>
      <w:r>
        <w:rPr>
          <w:b/>
          <w:spacing w:val="-3"/>
          <w:sz w:val="24"/>
        </w:rPr>
        <w:t> </w:t>
      </w:r>
      <w:bookmarkEnd w:id="12"/>
      <w:r>
        <w:rPr>
          <w:b/>
          <w:sz w:val="24"/>
        </w:rPr>
        <w:t>celular:</w:t>
      </w:r>
    </w:p>
    <w:p>
      <w:pPr>
        <w:pStyle w:val="BodyText"/>
        <w:spacing w:line="360" w:lineRule="auto" w:before="137"/>
        <w:ind w:left="119" w:right="1331" w:firstLine="302"/>
        <w:jc w:val="both"/>
      </w:pPr>
      <w:r>
        <w:rPr/>
        <w:t>Los tres tipos celulares mencionados con anterioridad fueron descongelados mediante un protocolo de descongelación desde un stock que se mantiene conservado a -80°C, luego se cultivaron en placas de 100 mm de diámetro y se mantuvieron en incubador a 37°C en una </w:t>
      </w:r>
      <w:r>
        <w:rPr>
          <w:position w:val="2"/>
        </w:rPr>
        <w:t>atmósfera con CO</w:t>
      </w:r>
      <w:r>
        <w:rPr>
          <w:sz w:val="16"/>
        </w:rPr>
        <w:t>2 </w:t>
      </w:r>
      <w:r>
        <w:rPr>
          <w:position w:val="2"/>
        </w:rPr>
        <w:t>al 5%. El medio de cultivo que se utilizó para las líneas celulares </w:t>
      </w:r>
      <w:r>
        <w:rPr/>
        <w:t>germinales</w:t>
      </w:r>
      <w:r>
        <w:rPr>
          <w:spacing w:val="-9"/>
        </w:rPr>
        <w:t> </w:t>
      </w:r>
      <w:r>
        <w:rPr/>
        <w:t>fue</w:t>
      </w:r>
      <w:r>
        <w:rPr>
          <w:spacing w:val="-6"/>
        </w:rPr>
        <w:t> </w:t>
      </w:r>
      <w:r>
        <w:rPr/>
        <w:t>DMEM</w:t>
      </w:r>
      <w:r>
        <w:rPr>
          <w:spacing w:val="-7"/>
        </w:rPr>
        <w:t> </w:t>
      </w:r>
      <w:r>
        <w:rPr/>
        <w:t>High</w:t>
      </w:r>
      <w:r>
        <w:rPr>
          <w:spacing w:val="-10"/>
        </w:rPr>
        <w:t> </w:t>
      </w:r>
      <w:r>
        <w:rPr/>
        <w:t>Glucose</w:t>
      </w:r>
      <w:r>
        <w:rPr>
          <w:spacing w:val="-6"/>
        </w:rPr>
        <w:t> </w:t>
      </w:r>
      <w:r>
        <w:rPr/>
        <w:t>(Mediatech</w:t>
      </w:r>
      <w:r>
        <w:rPr>
          <w:spacing w:val="-5"/>
        </w:rPr>
        <w:t> </w:t>
      </w:r>
      <w:r>
        <w:rPr/>
        <w:t>Inc,</w:t>
      </w:r>
      <w:r>
        <w:rPr>
          <w:spacing w:val="-4"/>
        </w:rPr>
        <w:t> </w:t>
      </w:r>
      <w:r>
        <w:rPr/>
        <w:t>Corning,</w:t>
      </w:r>
      <w:r>
        <w:rPr>
          <w:spacing w:val="-3"/>
        </w:rPr>
        <w:t> </w:t>
      </w:r>
      <w:r>
        <w:rPr/>
        <w:t>USA.)</w:t>
      </w:r>
      <w:r>
        <w:rPr>
          <w:spacing w:val="-3"/>
        </w:rPr>
        <w:t> </w:t>
      </w:r>
      <w:r>
        <w:rPr/>
        <w:t>y</w:t>
      </w:r>
      <w:r>
        <w:rPr>
          <w:spacing w:val="-10"/>
        </w:rPr>
        <w:t> </w:t>
      </w:r>
      <w:r>
        <w:rPr/>
        <w:t>para</w:t>
      </w:r>
      <w:r>
        <w:rPr>
          <w:spacing w:val="-11"/>
        </w:rPr>
        <w:t> </w:t>
      </w:r>
      <w:r>
        <w:rPr/>
        <w:t>la</w:t>
      </w:r>
      <w:r>
        <w:rPr>
          <w:spacing w:val="-5"/>
        </w:rPr>
        <w:t> </w:t>
      </w:r>
      <w:r>
        <w:rPr/>
        <w:t>línea</w:t>
      </w:r>
      <w:r>
        <w:rPr>
          <w:spacing w:val="-7"/>
        </w:rPr>
        <w:t> </w:t>
      </w:r>
      <w:r>
        <w:rPr/>
        <w:t>celular somática se utilizó DMEM Low Glucose (HyClone, Healthcare Cell Culture, USA). Ambos medios fueron suplementados con suero bovino fetal al 10% (Biological Industries, USA) y Penicilina-Estreptomicina al </w:t>
      </w:r>
      <w:r>
        <w:rPr>
          <w:spacing w:val="-3"/>
        </w:rPr>
        <w:t>1% </w:t>
      </w:r>
      <w:r>
        <w:rPr/>
        <w:t>(Mediatech Inc, Corning, USA.). Las células se mantuvieron</w:t>
      </w:r>
      <w:r>
        <w:rPr>
          <w:spacing w:val="-11"/>
        </w:rPr>
        <w:t> </w:t>
      </w:r>
      <w:r>
        <w:rPr/>
        <w:t>cultivadas</w:t>
      </w:r>
      <w:r>
        <w:rPr>
          <w:spacing w:val="-12"/>
        </w:rPr>
        <w:t> </w:t>
      </w:r>
      <w:r>
        <w:rPr/>
        <w:t>hasta</w:t>
      </w:r>
      <w:r>
        <w:rPr>
          <w:spacing w:val="-10"/>
        </w:rPr>
        <w:t> </w:t>
      </w:r>
      <w:r>
        <w:rPr/>
        <w:t>que</w:t>
      </w:r>
      <w:r>
        <w:rPr>
          <w:spacing w:val="-11"/>
        </w:rPr>
        <w:t> </w:t>
      </w:r>
      <w:r>
        <w:rPr/>
        <w:t>llegaron</w:t>
      </w:r>
      <w:r>
        <w:rPr>
          <w:spacing w:val="-14"/>
        </w:rPr>
        <w:t> </w:t>
      </w:r>
      <w:r>
        <w:rPr/>
        <w:t>a</w:t>
      </w:r>
      <w:r>
        <w:rPr>
          <w:spacing w:val="-14"/>
        </w:rPr>
        <w:t> </w:t>
      </w:r>
      <w:r>
        <w:rPr/>
        <w:t>una</w:t>
      </w:r>
      <w:r>
        <w:rPr>
          <w:spacing w:val="-11"/>
        </w:rPr>
        <w:t> </w:t>
      </w:r>
      <w:r>
        <w:rPr/>
        <w:t>confluencia</w:t>
      </w:r>
      <w:r>
        <w:rPr>
          <w:spacing w:val="-10"/>
        </w:rPr>
        <w:t> </w:t>
      </w:r>
      <w:r>
        <w:rPr/>
        <w:t>del</w:t>
      </w:r>
      <w:r>
        <w:rPr>
          <w:spacing w:val="-10"/>
        </w:rPr>
        <w:t> </w:t>
      </w:r>
      <w:r>
        <w:rPr/>
        <w:t>70-80%</w:t>
      </w:r>
      <w:r>
        <w:rPr>
          <w:spacing w:val="-13"/>
        </w:rPr>
        <w:t> </w:t>
      </w:r>
      <w:r>
        <w:rPr/>
        <w:t>para</w:t>
      </w:r>
      <w:r>
        <w:rPr>
          <w:spacing w:val="-10"/>
        </w:rPr>
        <w:t> </w:t>
      </w:r>
      <w:r>
        <w:rPr/>
        <w:t>posteriormente ser divididas en líneas para mantención y para</w:t>
      </w:r>
      <w:r>
        <w:rPr>
          <w:spacing w:val="3"/>
        </w:rPr>
        <w:t> </w:t>
      </w:r>
      <w:r>
        <w:rPr/>
        <w:t>experimentación.</w:t>
      </w:r>
    </w:p>
    <w:p>
      <w:pPr>
        <w:pStyle w:val="BodyText"/>
        <w:rPr>
          <w:sz w:val="36"/>
        </w:rPr>
      </w:pPr>
    </w:p>
    <w:p>
      <w:pPr>
        <w:pStyle w:val="ListParagraph"/>
        <w:numPr>
          <w:ilvl w:val="2"/>
          <w:numId w:val="5"/>
        </w:numPr>
        <w:tabs>
          <w:tab w:pos="663" w:val="left" w:leader="none"/>
        </w:tabs>
        <w:spacing w:line="240" w:lineRule="auto" w:before="0" w:after="0"/>
        <w:ind w:left="662" w:right="0" w:hanging="544"/>
        <w:jc w:val="left"/>
        <w:rPr>
          <w:b/>
          <w:sz w:val="24"/>
        </w:rPr>
      </w:pPr>
      <w:bookmarkStart w:name="_TOC_250017" w:id="13"/>
      <w:r>
        <w:rPr>
          <w:b/>
          <w:sz w:val="24"/>
        </w:rPr>
        <w:t>Extracción de</w:t>
      </w:r>
      <w:r>
        <w:rPr>
          <w:b/>
          <w:spacing w:val="2"/>
          <w:sz w:val="24"/>
        </w:rPr>
        <w:t> </w:t>
      </w:r>
      <w:bookmarkEnd w:id="13"/>
      <w:r>
        <w:rPr>
          <w:b/>
          <w:sz w:val="24"/>
        </w:rPr>
        <w:t>DNA:</w:t>
      </w:r>
    </w:p>
    <w:p>
      <w:pPr>
        <w:pStyle w:val="BodyText"/>
        <w:spacing w:line="360" w:lineRule="auto" w:before="137"/>
        <w:ind w:left="119" w:right="1692" w:firstLine="302"/>
      </w:pPr>
      <w:r>
        <w:rPr/>
        <w:t>La extracción del DNA se realizó a mediante el Kit E.Z.N.A.® Tissue DNA según el protocolo del fabricante, posterior a la extracción las muestras se cuantificaron por espectrofotometría y se almacenaron a -20°C hasta su uso.</w:t>
      </w:r>
    </w:p>
    <w:p>
      <w:pPr>
        <w:pStyle w:val="BodyText"/>
        <w:rPr>
          <w:sz w:val="26"/>
        </w:rPr>
      </w:pPr>
    </w:p>
    <w:p>
      <w:pPr>
        <w:pStyle w:val="BodyText"/>
        <w:spacing w:before="6"/>
        <w:rPr>
          <w:sz w:val="20"/>
        </w:rPr>
      </w:pPr>
    </w:p>
    <w:p>
      <w:pPr>
        <w:pStyle w:val="ListParagraph"/>
        <w:numPr>
          <w:ilvl w:val="2"/>
          <w:numId w:val="5"/>
        </w:numPr>
        <w:tabs>
          <w:tab w:pos="662" w:val="left" w:leader="none"/>
        </w:tabs>
        <w:spacing w:line="240" w:lineRule="auto" w:before="0" w:after="0"/>
        <w:ind w:left="661" w:right="0" w:hanging="543"/>
        <w:jc w:val="left"/>
        <w:rPr>
          <w:b/>
          <w:sz w:val="24"/>
        </w:rPr>
      </w:pPr>
      <w:bookmarkStart w:name="_TOC_250016" w:id="14"/>
      <w:r>
        <w:rPr>
          <w:b/>
          <w:sz w:val="24"/>
        </w:rPr>
        <w:t>Reacción en cadena de la polimerasa</w:t>
      </w:r>
      <w:r>
        <w:rPr>
          <w:b/>
          <w:spacing w:val="1"/>
          <w:sz w:val="24"/>
        </w:rPr>
        <w:t> </w:t>
      </w:r>
      <w:bookmarkEnd w:id="14"/>
      <w:r>
        <w:rPr>
          <w:b/>
          <w:sz w:val="24"/>
        </w:rPr>
        <w:t>(PCR):</w:t>
      </w:r>
    </w:p>
    <w:p>
      <w:pPr>
        <w:pStyle w:val="BodyText"/>
        <w:spacing w:line="360" w:lineRule="auto" w:before="137"/>
        <w:ind w:left="119" w:right="1336" w:firstLine="302"/>
        <w:jc w:val="both"/>
      </w:pPr>
      <w:r>
        <w:rPr/>
        <w:t>El PCR se realizó mediante el uso de SapphireAmp® Fast PCR Master Mix, el cual contiene, una enzima polimerasa dependiente de temperatura, mix de dNTPs y un buffer</w:t>
      </w:r>
    </w:p>
    <w:p>
      <w:pPr>
        <w:spacing w:after="0" w:line="360" w:lineRule="auto"/>
        <w:jc w:val="both"/>
        <w:sectPr>
          <w:pgSz w:w="12240" w:h="15840"/>
          <w:pgMar w:header="7" w:footer="0" w:top="1040" w:bottom="280" w:left="1580" w:right="360"/>
        </w:sectPr>
      </w:pPr>
    </w:p>
    <w:p>
      <w:pPr>
        <w:pStyle w:val="BodyText"/>
        <w:spacing w:line="360" w:lineRule="auto" w:before="80"/>
        <w:ind w:left="119" w:right="1333"/>
        <w:jc w:val="both"/>
      </w:pPr>
      <w:r>
        <w:rPr/>
        <w:t>optimizado</w:t>
      </w:r>
      <w:r>
        <w:rPr>
          <w:spacing w:val="-4"/>
        </w:rPr>
        <w:t> </w:t>
      </w:r>
      <w:r>
        <w:rPr/>
        <w:t>para</w:t>
      </w:r>
      <w:r>
        <w:rPr>
          <w:spacing w:val="-5"/>
        </w:rPr>
        <w:t> </w:t>
      </w:r>
      <w:r>
        <w:rPr/>
        <w:t>PCR</w:t>
      </w:r>
      <w:r>
        <w:rPr>
          <w:spacing w:val="-6"/>
        </w:rPr>
        <w:t> </w:t>
      </w:r>
      <w:r>
        <w:rPr/>
        <w:t>de</w:t>
      </w:r>
      <w:r>
        <w:rPr>
          <w:spacing w:val="-10"/>
        </w:rPr>
        <w:t> </w:t>
      </w:r>
      <w:r>
        <w:rPr/>
        <w:t>alta</w:t>
      </w:r>
      <w:r>
        <w:rPr>
          <w:spacing w:val="-5"/>
        </w:rPr>
        <w:t> </w:t>
      </w:r>
      <w:r>
        <w:rPr/>
        <w:t>velocidad,</w:t>
      </w:r>
      <w:r>
        <w:rPr>
          <w:spacing w:val="-6"/>
        </w:rPr>
        <w:t> </w:t>
      </w:r>
      <w:r>
        <w:rPr/>
        <w:t>además</w:t>
      </w:r>
      <w:r>
        <w:rPr>
          <w:spacing w:val="-7"/>
        </w:rPr>
        <w:t> </w:t>
      </w:r>
      <w:r>
        <w:rPr/>
        <w:t>contiene</w:t>
      </w:r>
      <w:r>
        <w:rPr>
          <w:spacing w:val="-5"/>
        </w:rPr>
        <w:t> </w:t>
      </w:r>
      <w:r>
        <w:rPr/>
        <w:t>un</w:t>
      </w:r>
      <w:r>
        <w:rPr>
          <w:spacing w:val="-4"/>
        </w:rPr>
        <w:t> </w:t>
      </w:r>
      <w:r>
        <w:rPr/>
        <w:t>colorante</w:t>
      </w:r>
      <w:r>
        <w:rPr>
          <w:spacing w:val="-8"/>
        </w:rPr>
        <w:t> </w:t>
      </w:r>
      <w:r>
        <w:rPr/>
        <w:t>azul</w:t>
      </w:r>
      <w:r>
        <w:rPr>
          <w:spacing w:val="-3"/>
        </w:rPr>
        <w:t> </w:t>
      </w:r>
      <w:r>
        <w:rPr/>
        <w:t>y</w:t>
      </w:r>
      <w:r>
        <w:rPr>
          <w:spacing w:val="-4"/>
        </w:rPr>
        <w:t> </w:t>
      </w:r>
      <w:r>
        <w:rPr>
          <w:spacing w:val="-3"/>
        </w:rPr>
        <w:t>un</w:t>
      </w:r>
      <w:r>
        <w:rPr>
          <w:spacing w:val="2"/>
        </w:rPr>
        <w:t> </w:t>
      </w:r>
      <w:r>
        <w:rPr/>
        <w:t>material</w:t>
      </w:r>
      <w:r>
        <w:rPr>
          <w:spacing w:val="-9"/>
        </w:rPr>
        <w:t> </w:t>
      </w:r>
      <w:r>
        <w:rPr/>
        <w:t>que incrementa la gravedad especifica de la solución con el fin de poder cargar el producto PCR directamente</w:t>
      </w:r>
      <w:r>
        <w:rPr>
          <w:spacing w:val="-2"/>
        </w:rPr>
        <w:t> </w:t>
      </w:r>
      <w:r>
        <w:rPr/>
        <w:t>en</w:t>
      </w:r>
      <w:r>
        <w:rPr>
          <w:spacing w:val="-5"/>
        </w:rPr>
        <w:t> </w:t>
      </w:r>
      <w:r>
        <w:rPr/>
        <w:t>el</w:t>
      </w:r>
      <w:r>
        <w:rPr>
          <w:spacing w:val="-5"/>
        </w:rPr>
        <w:t> </w:t>
      </w:r>
      <w:r>
        <w:rPr/>
        <w:t>gel</w:t>
      </w:r>
      <w:r>
        <w:rPr>
          <w:spacing w:val="-1"/>
        </w:rPr>
        <w:t> </w:t>
      </w:r>
      <w:r>
        <w:rPr/>
        <w:t>de</w:t>
      </w:r>
      <w:r>
        <w:rPr>
          <w:spacing w:val="-6"/>
        </w:rPr>
        <w:t> </w:t>
      </w:r>
      <w:r>
        <w:rPr/>
        <w:t>agarosa</w:t>
      </w:r>
      <w:r>
        <w:rPr>
          <w:spacing w:val="-6"/>
        </w:rPr>
        <w:t> </w:t>
      </w:r>
      <w:r>
        <w:rPr/>
        <w:t>para</w:t>
      </w:r>
      <w:r>
        <w:rPr>
          <w:spacing w:val="-6"/>
        </w:rPr>
        <w:t> </w:t>
      </w:r>
      <w:r>
        <w:rPr/>
        <w:t>la</w:t>
      </w:r>
      <w:r>
        <w:rPr>
          <w:spacing w:val="-2"/>
        </w:rPr>
        <w:t> </w:t>
      </w:r>
      <w:r>
        <w:rPr/>
        <w:t>electroforesis.</w:t>
      </w:r>
      <w:r>
        <w:rPr>
          <w:spacing w:val="2"/>
        </w:rPr>
        <w:t> </w:t>
      </w:r>
      <w:r>
        <w:rPr/>
        <w:t>El</w:t>
      </w:r>
      <w:r>
        <w:rPr>
          <w:spacing w:val="-5"/>
        </w:rPr>
        <w:t> </w:t>
      </w:r>
      <w:r>
        <w:rPr/>
        <w:t>procedimiento</w:t>
      </w:r>
      <w:r>
        <w:rPr>
          <w:spacing w:val="-6"/>
        </w:rPr>
        <w:t> </w:t>
      </w:r>
      <w:r>
        <w:rPr/>
        <w:t>del</w:t>
      </w:r>
      <w:r>
        <w:rPr>
          <w:spacing w:val="-5"/>
        </w:rPr>
        <w:t> </w:t>
      </w:r>
      <w:r>
        <w:rPr/>
        <w:t>PCR</w:t>
      </w:r>
      <w:r>
        <w:rPr>
          <w:spacing w:val="-7"/>
        </w:rPr>
        <w:t> </w:t>
      </w:r>
      <w:r>
        <w:rPr/>
        <w:t>se</w:t>
      </w:r>
      <w:r>
        <w:rPr>
          <w:spacing w:val="-1"/>
        </w:rPr>
        <w:t> </w:t>
      </w:r>
      <w:r>
        <w:rPr/>
        <w:t>realizó según el protocolo del fabricante en el equipo T100 Thermal Cylcer Bio-Rad. Ese protocolo consistió</w:t>
      </w:r>
      <w:r>
        <w:rPr>
          <w:spacing w:val="2"/>
        </w:rPr>
        <w:t> </w:t>
      </w:r>
      <w:r>
        <w:rPr/>
        <w:t>en:</w:t>
      </w:r>
    </w:p>
    <w:p>
      <w:pPr>
        <w:pStyle w:val="BodyText"/>
        <w:spacing w:line="276" w:lineRule="exact"/>
        <w:ind w:left="119"/>
        <w:jc w:val="both"/>
      </w:pPr>
      <w:r>
        <w:rPr/>
        <w:t>Desnaturalización inicial: 95ºC. 3’</w:t>
      </w:r>
    </w:p>
    <w:p>
      <w:pPr>
        <w:pStyle w:val="BodyText"/>
        <w:spacing w:before="142"/>
        <w:ind w:left="119"/>
      </w:pPr>
      <w:r>
        <w:rPr/>
        <w:t>35 ciclos: Desnaturalización 95ºC. 30’’</w:t>
      </w:r>
    </w:p>
    <w:p>
      <w:pPr>
        <w:pStyle w:val="BodyText"/>
        <w:spacing w:before="137"/>
        <w:ind w:left="1142"/>
      </w:pPr>
      <w:r>
        <w:rPr/>
        <w:t>Anillamiento: 55°C. 30’’</w:t>
      </w:r>
    </w:p>
    <w:p>
      <w:pPr>
        <w:pStyle w:val="BodyText"/>
        <w:spacing w:line="360" w:lineRule="auto" w:before="137"/>
        <w:ind w:left="182" w:right="7235" w:firstLine="960"/>
      </w:pPr>
      <w:r>
        <w:rPr/>
        <w:t>Extensión: 72°C. 1’ Extensión final: 72°C. 5’</w:t>
      </w:r>
    </w:p>
    <w:p>
      <w:pPr>
        <w:pStyle w:val="BodyText"/>
        <w:spacing w:before="2"/>
        <w:rPr>
          <w:sz w:val="36"/>
        </w:rPr>
      </w:pPr>
    </w:p>
    <w:p>
      <w:pPr>
        <w:pStyle w:val="ListParagraph"/>
        <w:numPr>
          <w:ilvl w:val="2"/>
          <w:numId w:val="5"/>
        </w:numPr>
        <w:tabs>
          <w:tab w:pos="663" w:val="left" w:leader="none"/>
        </w:tabs>
        <w:spacing w:line="240" w:lineRule="auto" w:before="0" w:after="0"/>
        <w:ind w:left="662" w:right="0" w:hanging="544"/>
        <w:jc w:val="both"/>
        <w:rPr>
          <w:b/>
          <w:sz w:val="24"/>
        </w:rPr>
      </w:pPr>
      <w:bookmarkStart w:name="_TOC_250015" w:id="15"/>
      <w:r>
        <w:rPr>
          <w:b/>
          <w:sz w:val="24"/>
        </w:rPr>
        <w:t>Electroforesis</w:t>
      </w:r>
      <w:r>
        <w:rPr>
          <w:b/>
          <w:spacing w:val="-1"/>
          <w:sz w:val="24"/>
        </w:rPr>
        <w:t> </w:t>
      </w:r>
      <w:bookmarkEnd w:id="15"/>
      <w:r>
        <w:rPr>
          <w:b/>
          <w:sz w:val="24"/>
        </w:rPr>
        <w:t>DNA:</w:t>
      </w:r>
    </w:p>
    <w:p>
      <w:pPr>
        <w:pStyle w:val="BodyText"/>
        <w:spacing w:line="360" w:lineRule="auto" w:before="137"/>
        <w:ind w:left="119" w:right="1333" w:firstLine="720"/>
        <w:jc w:val="both"/>
      </w:pPr>
      <w:r>
        <w:rPr/>
        <w:t>La</w:t>
      </w:r>
      <w:r>
        <w:rPr>
          <w:spacing w:val="-6"/>
        </w:rPr>
        <w:t> </w:t>
      </w:r>
      <w:r>
        <w:rPr/>
        <w:t>electroforesis</w:t>
      </w:r>
      <w:r>
        <w:rPr>
          <w:spacing w:val="-7"/>
        </w:rPr>
        <w:t> </w:t>
      </w:r>
      <w:r>
        <w:rPr/>
        <w:t>de</w:t>
      </w:r>
      <w:r>
        <w:rPr>
          <w:spacing w:val="-6"/>
        </w:rPr>
        <w:t> </w:t>
      </w:r>
      <w:r>
        <w:rPr/>
        <w:t>DNA</w:t>
      </w:r>
      <w:r>
        <w:rPr>
          <w:spacing w:val="-5"/>
        </w:rPr>
        <w:t> </w:t>
      </w:r>
      <w:r>
        <w:rPr/>
        <w:t>se</w:t>
      </w:r>
      <w:r>
        <w:rPr>
          <w:spacing w:val="-6"/>
        </w:rPr>
        <w:t> </w:t>
      </w:r>
      <w:r>
        <w:rPr/>
        <w:t>hizo</w:t>
      </w:r>
      <w:r>
        <w:rPr>
          <w:spacing w:val="-5"/>
        </w:rPr>
        <w:t> </w:t>
      </w:r>
      <w:r>
        <w:rPr/>
        <w:t>usando</w:t>
      </w:r>
      <w:r>
        <w:rPr>
          <w:spacing w:val="-5"/>
        </w:rPr>
        <w:t> </w:t>
      </w:r>
      <w:r>
        <w:rPr/>
        <w:t>geles</w:t>
      </w:r>
      <w:r>
        <w:rPr>
          <w:spacing w:val="-8"/>
        </w:rPr>
        <w:t> </w:t>
      </w:r>
      <w:r>
        <w:rPr/>
        <w:t>de</w:t>
      </w:r>
      <w:r>
        <w:rPr>
          <w:spacing w:val="-3"/>
        </w:rPr>
        <w:t> </w:t>
      </w:r>
      <w:r>
        <w:rPr/>
        <w:t>agarosa.</w:t>
      </w:r>
      <w:r>
        <w:rPr>
          <w:spacing w:val="-3"/>
        </w:rPr>
        <w:t> </w:t>
      </w:r>
      <w:r>
        <w:rPr/>
        <w:t>Para</w:t>
      </w:r>
      <w:r>
        <w:rPr>
          <w:spacing w:val="-5"/>
        </w:rPr>
        <w:t> </w:t>
      </w:r>
      <w:r>
        <w:rPr/>
        <w:t>ello</w:t>
      </w:r>
      <w:r>
        <w:rPr>
          <w:spacing w:val="-5"/>
        </w:rPr>
        <w:t> </w:t>
      </w:r>
      <w:r>
        <w:rPr/>
        <w:t>se</w:t>
      </w:r>
      <w:r>
        <w:rPr>
          <w:spacing w:val="-6"/>
        </w:rPr>
        <w:t> </w:t>
      </w:r>
      <w:r>
        <w:rPr/>
        <w:t>preparó</w:t>
      </w:r>
      <w:r>
        <w:rPr>
          <w:spacing w:val="-5"/>
        </w:rPr>
        <w:t> </w:t>
      </w:r>
      <w:r>
        <w:rPr/>
        <w:t>el</w:t>
      </w:r>
      <w:r>
        <w:rPr>
          <w:spacing w:val="-4"/>
        </w:rPr>
        <w:t> </w:t>
      </w:r>
      <w:r>
        <w:rPr/>
        <w:t>gel agregando 1.5 gr de Agarosa disueltos en 100 ml de Buffer TAE al 0.5X. Se coloca en el microondas por 3 minutos y se retira con un mitón debido al alta temperatura que alcanza el recipiente, se deja reposar hasta que se enfríe. Luego se agregan 5 µl de Bromuro de Etidio a la</w:t>
      </w:r>
      <w:r>
        <w:rPr>
          <w:spacing w:val="1"/>
        </w:rPr>
        <w:t> </w:t>
      </w:r>
      <w:r>
        <w:rPr/>
        <w:t>mezcla.</w:t>
      </w:r>
    </w:p>
    <w:p>
      <w:pPr>
        <w:pStyle w:val="BodyText"/>
        <w:spacing w:line="360" w:lineRule="auto"/>
        <w:ind w:left="119" w:right="1335" w:firstLine="365"/>
        <w:jc w:val="both"/>
      </w:pPr>
      <w:r>
        <w:rPr/>
        <w:t>Se</w:t>
      </w:r>
      <w:r>
        <w:rPr>
          <w:spacing w:val="-15"/>
        </w:rPr>
        <w:t> </w:t>
      </w:r>
      <w:r>
        <w:rPr/>
        <w:t>armó</w:t>
      </w:r>
      <w:r>
        <w:rPr>
          <w:spacing w:val="-8"/>
        </w:rPr>
        <w:t> </w:t>
      </w:r>
      <w:r>
        <w:rPr/>
        <w:t>la</w:t>
      </w:r>
      <w:r>
        <w:rPr>
          <w:spacing w:val="-14"/>
        </w:rPr>
        <w:t> </w:t>
      </w:r>
      <w:r>
        <w:rPr/>
        <w:t>máquina</w:t>
      </w:r>
      <w:r>
        <w:rPr>
          <w:spacing w:val="-10"/>
        </w:rPr>
        <w:t> </w:t>
      </w:r>
      <w:r>
        <w:rPr/>
        <w:t>de</w:t>
      </w:r>
      <w:r>
        <w:rPr>
          <w:spacing w:val="-15"/>
        </w:rPr>
        <w:t> </w:t>
      </w:r>
      <w:r>
        <w:rPr/>
        <w:t>Electroforesis,</w:t>
      </w:r>
      <w:r>
        <w:rPr>
          <w:spacing w:val="-7"/>
        </w:rPr>
        <w:t> </w:t>
      </w:r>
      <w:r>
        <w:rPr/>
        <w:t>se</w:t>
      </w:r>
      <w:r>
        <w:rPr>
          <w:spacing w:val="-7"/>
        </w:rPr>
        <w:t> </w:t>
      </w:r>
      <w:r>
        <w:rPr/>
        <w:t>colocó</w:t>
      </w:r>
      <w:r>
        <w:rPr>
          <w:spacing w:val="-14"/>
        </w:rPr>
        <w:t> </w:t>
      </w:r>
      <w:r>
        <w:rPr/>
        <w:t>el</w:t>
      </w:r>
      <w:r>
        <w:rPr>
          <w:spacing w:val="-9"/>
        </w:rPr>
        <w:t> </w:t>
      </w:r>
      <w:r>
        <w:rPr/>
        <w:t>pocillo</w:t>
      </w:r>
      <w:r>
        <w:rPr>
          <w:spacing w:val="-13"/>
        </w:rPr>
        <w:t> </w:t>
      </w:r>
      <w:r>
        <w:rPr/>
        <w:t>en</w:t>
      </w:r>
      <w:r>
        <w:rPr>
          <w:spacing w:val="-9"/>
        </w:rPr>
        <w:t> </w:t>
      </w:r>
      <w:r>
        <w:rPr/>
        <w:t>conjunto</w:t>
      </w:r>
      <w:r>
        <w:rPr>
          <w:spacing w:val="-13"/>
        </w:rPr>
        <w:t> </w:t>
      </w:r>
      <w:r>
        <w:rPr/>
        <w:t>con</w:t>
      </w:r>
      <w:r>
        <w:rPr>
          <w:spacing w:val="-10"/>
        </w:rPr>
        <w:t> </w:t>
      </w:r>
      <w:r>
        <w:rPr/>
        <w:t>la</w:t>
      </w:r>
      <w:r>
        <w:rPr>
          <w:spacing w:val="-9"/>
        </w:rPr>
        <w:t> </w:t>
      </w:r>
      <w:r>
        <w:rPr/>
        <w:t>peineta</w:t>
      </w:r>
      <w:r>
        <w:rPr>
          <w:spacing w:val="-12"/>
        </w:rPr>
        <w:t> </w:t>
      </w:r>
      <w:r>
        <w:rPr/>
        <w:t>para obtener las celdillas en donde se agregará el gel, que luego de a 10-15 minutos gelificará. Una vez listo se posiciona en la máquina de electroforesis, donde las celdillas van del polo negativo al polo positivo, se agrega TAE 0.5X para correr geles cubriendo toda la caja de electroforesis y el gel mismo.</w:t>
      </w:r>
    </w:p>
    <w:p>
      <w:pPr>
        <w:pStyle w:val="BodyText"/>
        <w:spacing w:before="6"/>
        <w:rPr>
          <w:sz w:val="26"/>
        </w:rPr>
      </w:pPr>
    </w:p>
    <w:p>
      <w:pPr>
        <w:pStyle w:val="BodyText"/>
        <w:spacing w:line="360" w:lineRule="auto" w:before="1"/>
        <w:ind w:left="119" w:right="1331" w:firstLine="302"/>
        <w:jc w:val="both"/>
      </w:pPr>
      <w:r>
        <w:rPr/>
        <w:t>Luego</w:t>
      </w:r>
      <w:r>
        <w:rPr>
          <w:spacing w:val="-6"/>
        </w:rPr>
        <w:t> </w:t>
      </w:r>
      <w:r>
        <w:rPr/>
        <w:t>en</w:t>
      </w:r>
      <w:r>
        <w:rPr>
          <w:spacing w:val="-5"/>
        </w:rPr>
        <w:t> </w:t>
      </w:r>
      <w:r>
        <w:rPr/>
        <w:t>el</w:t>
      </w:r>
      <w:r>
        <w:rPr>
          <w:spacing w:val="-5"/>
        </w:rPr>
        <w:t> </w:t>
      </w:r>
      <w:r>
        <w:rPr/>
        <w:t>primer</w:t>
      </w:r>
      <w:r>
        <w:rPr>
          <w:spacing w:val="-8"/>
        </w:rPr>
        <w:t> </w:t>
      </w:r>
      <w:r>
        <w:rPr/>
        <w:t>pocillo</w:t>
      </w:r>
      <w:r>
        <w:rPr>
          <w:spacing w:val="-5"/>
        </w:rPr>
        <w:t> </w:t>
      </w:r>
      <w:r>
        <w:rPr/>
        <w:t>se</w:t>
      </w:r>
      <w:r>
        <w:rPr>
          <w:spacing w:val="-6"/>
        </w:rPr>
        <w:t> </w:t>
      </w:r>
      <w:r>
        <w:rPr/>
        <w:t>coloca</w:t>
      </w:r>
      <w:r>
        <w:rPr>
          <w:spacing w:val="-7"/>
        </w:rPr>
        <w:t> </w:t>
      </w:r>
      <w:r>
        <w:rPr/>
        <w:t>el</w:t>
      </w:r>
      <w:r>
        <w:rPr>
          <w:spacing w:val="-7"/>
        </w:rPr>
        <w:t> </w:t>
      </w:r>
      <w:r>
        <w:rPr/>
        <w:t>marcador</w:t>
      </w:r>
      <w:r>
        <w:rPr>
          <w:spacing w:val="-4"/>
        </w:rPr>
        <w:t> </w:t>
      </w:r>
      <w:r>
        <w:rPr/>
        <w:t>de</w:t>
      </w:r>
      <w:r>
        <w:rPr>
          <w:spacing w:val="-6"/>
        </w:rPr>
        <w:t> </w:t>
      </w:r>
      <w:r>
        <w:rPr/>
        <w:t>peso</w:t>
      </w:r>
      <w:r>
        <w:rPr>
          <w:spacing w:val="-6"/>
        </w:rPr>
        <w:t> </w:t>
      </w:r>
      <w:r>
        <w:rPr/>
        <w:t>molecular</w:t>
      </w:r>
      <w:r>
        <w:rPr>
          <w:spacing w:val="-2"/>
        </w:rPr>
        <w:t> </w:t>
      </w:r>
      <w:r>
        <w:rPr/>
        <w:t>de</w:t>
      </w:r>
      <w:r>
        <w:rPr>
          <w:spacing w:val="-7"/>
        </w:rPr>
        <w:t> </w:t>
      </w:r>
      <w:r>
        <w:rPr/>
        <w:t>100pb</w:t>
      </w:r>
      <w:r>
        <w:rPr>
          <w:spacing w:val="-10"/>
        </w:rPr>
        <w:t> </w:t>
      </w:r>
      <w:r>
        <w:rPr/>
        <w:t>marca</w:t>
      </w:r>
      <w:r>
        <w:rPr>
          <w:spacing w:val="-10"/>
        </w:rPr>
        <w:t> </w:t>
      </w:r>
      <w:r>
        <w:rPr/>
        <w:t>New England Biolabs (NEB) y en los otros se distribuyeron las muestras a analizar. Estas se tomaron directamente tras la realización del PCR y se colocaron 6 µl de cada muestra en los pocillos</w:t>
      </w:r>
      <w:r>
        <w:rPr>
          <w:spacing w:val="-7"/>
        </w:rPr>
        <w:t> </w:t>
      </w:r>
      <w:r>
        <w:rPr/>
        <w:t>sin</w:t>
      </w:r>
      <w:r>
        <w:rPr>
          <w:spacing w:val="-4"/>
        </w:rPr>
        <w:t> </w:t>
      </w:r>
      <w:r>
        <w:rPr/>
        <w:t>necesidad</w:t>
      </w:r>
      <w:r>
        <w:rPr>
          <w:spacing w:val="-5"/>
        </w:rPr>
        <w:t> </w:t>
      </w:r>
      <w:r>
        <w:rPr/>
        <w:t>de</w:t>
      </w:r>
      <w:r>
        <w:rPr>
          <w:spacing w:val="-5"/>
        </w:rPr>
        <w:t> </w:t>
      </w:r>
      <w:r>
        <w:rPr/>
        <w:t>agregar</w:t>
      </w:r>
      <w:r>
        <w:rPr>
          <w:spacing w:val="-3"/>
        </w:rPr>
        <w:t> </w:t>
      </w:r>
      <w:r>
        <w:rPr/>
        <w:t>colorante</w:t>
      </w:r>
      <w:r>
        <w:rPr>
          <w:spacing w:val="-5"/>
        </w:rPr>
        <w:t> </w:t>
      </w:r>
      <w:r>
        <w:rPr/>
        <w:t>para</w:t>
      </w:r>
      <w:r>
        <w:rPr>
          <w:spacing w:val="-6"/>
        </w:rPr>
        <w:t> </w:t>
      </w:r>
      <w:r>
        <w:rPr/>
        <w:t>su posterior</w:t>
      </w:r>
      <w:r>
        <w:rPr>
          <w:spacing w:val="-3"/>
        </w:rPr>
        <w:t> </w:t>
      </w:r>
      <w:r>
        <w:rPr/>
        <w:t>visualización</w:t>
      </w:r>
      <w:r>
        <w:rPr>
          <w:spacing w:val="-3"/>
        </w:rPr>
        <w:t> </w:t>
      </w:r>
      <w:r>
        <w:rPr/>
        <w:t>ya</w:t>
      </w:r>
      <w:r>
        <w:rPr>
          <w:spacing w:val="-6"/>
        </w:rPr>
        <w:t> </w:t>
      </w:r>
      <w:r>
        <w:rPr/>
        <w:t>que</w:t>
      </w:r>
      <w:r>
        <w:rPr>
          <w:spacing w:val="-6"/>
        </w:rPr>
        <w:t> </w:t>
      </w:r>
      <w:r>
        <w:rPr/>
        <w:t>el</w:t>
      </w:r>
      <w:r>
        <w:rPr>
          <w:spacing w:val="-4"/>
        </w:rPr>
        <w:t> </w:t>
      </w:r>
      <w:r>
        <w:rPr/>
        <w:t>reactivo </w:t>
      </w:r>
      <w:r>
        <w:rPr>
          <w:color w:val="012121"/>
        </w:rPr>
        <w:t>SapphireAmp®</w:t>
      </w:r>
      <w:r>
        <w:rPr>
          <w:color w:val="012121"/>
          <w:spacing w:val="-6"/>
        </w:rPr>
        <w:t> </w:t>
      </w:r>
      <w:r>
        <w:rPr>
          <w:color w:val="012121"/>
        </w:rPr>
        <w:t>Fast</w:t>
      </w:r>
      <w:r>
        <w:rPr>
          <w:color w:val="012121"/>
          <w:spacing w:val="-5"/>
        </w:rPr>
        <w:t> </w:t>
      </w:r>
      <w:r>
        <w:rPr>
          <w:color w:val="012121"/>
        </w:rPr>
        <w:t>PCR</w:t>
      </w:r>
      <w:r>
        <w:rPr>
          <w:color w:val="012121"/>
          <w:spacing w:val="-7"/>
        </w:rPr>
        <w:t> </w:t>
      </w:r>
      <w:r>
        <w:rPr>
          <w:color w:val="012121"/>
        </w:rPr>
        <w:t>Master</w:t>
      </w:r>
      <w:r>
        <w:rPr>
          <w:color w:val="012121"/>
          <w:spacing w:val="-5"/>
        </w:rPr>
        <w:t> </w:t>
      </w:r>
      <w:r>
        <w:rPr>
          <w:color w:val="012121"/>
        </w:rPr>
        <w:t>Mix</w:t>
      </w:r>
      <w:r>
        <w:rPr>
          <w:color w:val="012121"/>
          <w:spacing w:val="-4"/>
        </w:rPr>
        <w:t> </w:t>
      </w:r>
      <w:r>
        <w:rPr>
          <w:color w:val="012121"/>
        </w:rPr>
        <w:t>contiene</w:t>
      </w:r>
      <w:r>
        <w:rPr>
          <w:color w:val="012121"/>
          <w:spacing w:val="-7"/>
        </w:rPr>
        <w:t> </w:t>
      </w:r>
      <w:r>
        <w:rPr>
          <w:color w:val="012121"/>
        </w:rPr>
        <w:t>un</w:t>
      </w:r>
      <w:r>
        <w:rPr>
          <w:color w:val="012121"/>
          <w:spacing w:val="-10"/>
        </w:rPr>
        <w:t> </w:t>
      </w:r>
      <w:r>
        <w:rPr>
          <w:color w:val="012121"/>
        </w:rPr>
        <w:t>colorante</w:t>
      </w:r>
      <w:r>
        <w:rPr>
          <w:color w:val="012121"/>
          <w:spacing w:val="-5"/>
        </w:rPr>
        <w:t> </w:t>
      </w:r>
      <w:r>
        <w:rPr>
          <w:color w:val="012121"/>
        </w:rPr>
        <w:t>agregado.</w:t>
      </w:r>
      <w:r>
        <w:rPr>
          <w:color w:val="012121"/>
          <w:spacing w:val="-4"/>
        </w:rPr>
        <w:t> </w:t>
      </w:r>
      <w:r>
        <w:rPr>
          <w:color w:val="012121"/>
        </w:rPr>
        <w:t>Luego</w:t>
      </w:r>
      <w:r>
        <w:rPr>
          <w:color w:val="012121"/>
          <w:spacing w:val="-6"/>
        </w:rPr>
        <w:t> </w:t>
      </w:r>
      <w:r>
        <w:rPr>
          <w:color w:val="012121"/>
        </w:rPr>
        <w:t>se</w:t>
      </w:r>
      <w:r>
        <w:rPr>
          <w:color w:val="012121"/>
          <w:spacing w:val="-6"/>
        </w:rPr>
        <w:t> </w:t>
      </w:r>
      <w:r>
        <w:rPr>
          <w:color w:val="012121"/>
        </w:rPr>
        <w:t>encendió</w:t>
      </w:r>
      <w:r>
        <w:rPr>
          <w:color w:val="012121"/>
          <w:spacing w:val="-5"/>
        </w:rPr>
        <w:t> </w:t>
      </w:r>
      <w:r>
        <w:rPr>
          <w:color w:val="012121"/>
        </w:rPr>
        <w:t>la maquina</w:t>
      </w:r>
      <w:r>
        <w:rPr>
          <w:color w:val="012121"/>
          <w:spacing w:val="-11"/>
        </w:rPr>
        <w:t> </w:t>
      </w:r>
      <w:r>
        <w:rPr>
          <w:color w:val="012121"/>
        </w:rPr>
        <w:t>de</w:t>
      </w:r>
      <w:r>
        <w:rPr>
          <w:color w:val="012121"/>
          <w:spacing w:val="-10"/>
        </w:rPr>
        <w:t> </w:t>
      </w:r>
      <w:r>
        <w:rPr>
          <w:color w:val="012121"/>
        </w:rPr>
        <w:t>electroforesis,</w:t>
      </w:r>
      <w:r>
        <w:rPr>
          <w:color w:val="012121"/>
          <w:spacing w:val="-8"/>
        </w:rPr>
        <w:t> </w:t>
      </w:r>
      <w:r>
        <w:rPr>
          <w:color w:val="012121"/>
        </w:rPr>
        <w:t>se</w:t>
      </w:r>
      <w:r>
        <w:rPr>
          <w:color w:val="012121"/>
          <w:spacing w:val="-10"/>
        </w:rPr>
        <w:t> </w:t>
      </w:r>
      <w:r>
        <w:rPr>
          <w:color w:val="012121"/>
        </w:rPr>
        <w:t>dejó</w:t>
      </w:r>
      <w:r>
        <w:rPr>
          <w:color w:val="012121"/>
          <w:spacing w:val="-8"/>
        </w:rPr>
        <w:t> </w:t>
      </w:r>
      <w:r>
        <w:rPr>
          <w:color w:val="012121"/>
        </w:rPr>
        <w:t>actuar</w:t>
      </w:r>
      <w:r>
        <w:rPr>
          <w:color w:val="012121"/>
          <w:spacing w:val="-9"/>
        </w:rPr>
        <w:t> </w:t>
      </w:r>
      <w:r>
        <w:rPr>
          <w:color w:val="012121"/>
        </w:rPr>
        <w:t>durante</w:t>
      </w:r>
      <w:r>
        <w:rPr>
          <w:color w:val="012121"/>
          <w:spacing w:val="-9"/>
        </w:rPr>
        <w:t> </w:t>
      </w:r>
      <w:r>
        <w:rPr>
          <w:color w:val="012121"/>
          <w:spacing w:val="-3"/>
        </w:rPr>
        <w:t>45</w:t>
      </w:r>
      <w:r>
        <w:rPr>
          <w:color w:val="012121"/>
          <w:spacing w:val="-9"/>
        </w:rPr>
        <w:t> </w:t>
      </w:r>
      <w:r>
        <w:rPr>
          <w:color w:val="012121"/>
        </w:rPr>
        <w:t>min.</w:t>
      </w:r>
      <w:r>
        <w:rPr>
          <w:color w:val="012121"/>
          <w:spacing w:val="-8"/>
        </w:rPr>
        <w:t> </w:t>
      </w:r>
      <w:r>
        <w:rPr>
          <w:color w:val="012121"/>
        </w:rPr>
        <w:t>a</w:t>
      </w:r>
      <w:r>
        <w:rPr>
          <w:color w:val="012121"/>
          <w:spacing w:val="-10"/>
        </w:rPr>
        <w:t> </w:t>
      </w:r>
      <w:r>
        <w:rPr>
          <w:color w:val="012121"/>
        </w:rPr>
        <w:t>5</w:t>
      </w:r>
      <w:r>
        <w:rPr>
          <w:color w:val="012121"/>
          <w:spacing w:val="-13"/>
        </w:rPr>
        <w:t> </w:t>
      </w:r>
      <w:r>
        <w:rPr>
          <w:color w:val="012121"/>
        </w:rPr>
        <w:t>volt/cm</w:t>
      </w:r>
      <w:r>
        <w:rPr>
          <w:color w:val="012121"/>
          <w:spacing w:val="-9"/>
        </w:rPr>
        <w:t> </w:t>
      </w:r>
      <w:r>
        <w:rPr>
          <w:color w:val="012121"/>
        </w:rPr>
        <w:t>y</w:t>
      </w:r>
      <w:r>
        <w:rPr>
          <w:color w:val="012121"/>
          <w:spacing w:val="-9"/>
        </w:rPr>
        <w:t> </w:t>
      </w:r>
      <w:r>
        <w:rPr>
          <w:color w:val="012121"/>
        </w:rPr>
        <w:t>se</w:t>
      </w:r>
      <w:r>
        <w:rPr>
          <w:color w:val="012121"/>
          <w:spacing w:val="-10"/>
        </w:rPr>
        <w:t> </w:t>
      </w:r>
      <w:r>
        <w:rPr>
          <w:color w:val="012121"/>
        </w:rPr>
        <w:t>pudieron</w:t>
      </w:r>
      <w:r>
        <w:rPr>
          <w:color w:val="012121"/>
          <w:spacing w:val="-10"/>
        </w:rPr>
        <w:t> </w:t>
      </w:r>
      <w:r>
        <w:rPr>
          <w:color w:val="012121"/>
        </w:rPr>
        <w:t>visualizar los resultados bajo un visor de geles con luz</w:t>
      </w:r>
      <w:r>
        <w:rPr>
          <w:color w:val="012121"/>
          <w:spacing w:val="3"/>
        </w:rPr>
        <w:t> </w:t>
      </w:r>
      <w:r>
        <w:rPr>
          <w:color w:val="012121"/>
        </w:rPr>
        <w:t>UV.</w:t>
      </w:r>
    </w:p>
    <w:p>
      <w:pPr>
        <w:spacing w:after="0" w:line="360" w:lineRule="auto"/>
        <w:jc w:val="both"/>
        <w:sectPr>
          <w:pgSz w:w="12240" w:h="15840"/>
          <w:pgMar w:header="7" w:footer="0" w:top="1040" w:bottom="280" w:left="1580" w:right="360"/>
        </w:sectPr>
      </w:pPr>
    </w:p>
    <w:p>
      <w:pPr>
        <w:pStyle w:val="ListParagraph"/>
        <w:numPr>
          <w:ilvl w:val="2"/>
          <w:numId w:val="5"/>
        </w:numPr>
        <w:tabs>
          <w:tab w:pos="663" w:val="left" w:leader="none"/>
        </w:tabs>
        <w:spacing w:line="240" w:lineRule="auto" w:before="80" w:after="0"/>
        <w:ind w:left="662" w:right="0" w:hanging="544"/>
        <w:jc w:val="both"/>
        <w:rPr>
          <w:b/>
          <w:sz w:val="24"/>
        </w:rPr>
      </w:pPr>
      <w:bookmarkStart w:name="_TOC_250014" w:id="16"/>
      <w:r>
        <w:rPr>
          <w:b/>
          <w:sz w:val="24"/>
        </w:rPr>
        <w:t>Diseño</w:t>
      </w:r>
      <w:r>
        <w:rPr>
          <w:b/>
          <w:spacing w:val="1"/>
          <w:sz w:val="24"/>
        </w:rPr>
        <w:t> </w:t>
      </w:r>
      <w:bookmarkEnd w:id="16"/>
      <w:r>
        <w:rPr>
          <w:b/>
          <w:sz w:val="24"/>
        </w:rPr>
        <w:t>experimental:</w:t>
      </w:r>
    </w:p>
    <w:p>
      <w:pPr>
        <w:pStyle w:val="BodyText"/>
        <w:spacing w:line="360" w:lineRule="auto" w:before="137"/>
        <w:ind w:left="119" w:right="1338" w:firstLine="302"/>
        <w:jc w:val="both"/>
      </w:pPr>
      <w:r>
        <w:rPr/>
        <w:t>La</w:t>
      </w:r>
      <w:r>
        <w:rPr>
          <w:spacing w:val="-7"/>
        </w:rPr>
        <w:t> </w:t>
      </w:r>
      <w:r>
        <w:rPr/>
        <w:t>edición</w:t>
      </w:r>
      <w:r>
        <w:rPr>
          <w:spacing w:val="-6"/>
        </w:rPr>
        <w:t> </w:t>
      </w:r>
      <w:r>
        <w:rPr/>
        <w:t>genómica</w:t>
      </w:r>
      <w:r>
        <w:rPr>
          <w:spacing w:val="-6"/>
        </w:rPr>
        <w:t> </w:t>
      </w:r>
      <w:r>
        <w:rPr/>
        <w:t>se</w:t>
      </w:r>
      <w:r>
        <w:rPr>
          <w:spacing w:val="-7"/>
        </w:rPr>
        <w:t> </w:t>
      </w:r>
      <w:r>
        <w:rPr/>
        <w:t>llevó</w:t>
      </w:r>
      <w:r>
        <w:rPr>
          <w:spacing w:val="-5"/>
        </w:rPr>
        <w:t> </w:t>
      </w:r>
      <w:r>
        <w:rPr/>
        <w:t>a</w:t>
      </w:r>
      <w:r>
        <w:rPr>
          <w:spacing w:val="-7"/>
        </w:rPr>
        <w:t> </w:t>
      </w:r>
      <w:r>
        <w:rPr/>
        <w:t>cabo</w:t>
      </w:r>
      <w:r>
        <w:rPr>
          <w:spacing w:val="-5"/>
        </w:rPr>
        <w:t> </w:t>
      </w:r>
      <w:r>
        <w:rPr/>
        <w:t>en</w:t>
      </w:r>
      <w:r>
        <w:rPr>
          <w:spacing w:val="-6"/>
        </w:rPr>
        <w:t> </w:t>
      </w:r>
      <w:r>
        <w:rPr/>
        <w:t>tres</w:t>
      </w:r>
      <w:r>
        <w:rPr>
          <w:spacing w:val="-7"/>
        </w:rPr>
        <w:t> </w:t>
      </w:r>
      <w:r>
        <w:rPr/>
        <w:t>líneas</w:t>
      </w:r>
      <w:r>
        <w:rPr>
          <w:spacing w:val="-8"/>
        </w:rPr>
        <w:t> </w:t>
      </w:r>
      <w:r>
        <w:rPr/>
        <w:t>celulares</w:t>
      </w:r>
      <w:r>
        <w:rPr>
          <w:spacing w:val="-7"/>
        </w:rPr>
        <w:t> </w:t>
      </w:r>
      <w:r>
        <w:rPr/>
        <w:t>(NIH-3T3,</w:t>
      </w:r>
      <w:r>
        <w:rPr>
          <w:spacing w:val="-4"/>
        </w:rPr>
        <w:t> </w:t>
      </w:r>
      <w:r>
        <w:rPr/>
        <w:t>GC-1</w:t>
      </w:r>
      <w:r>
        <w:rPr>
          <w:spacing w:val="-5"/>
        </w:rPr>
        <w:t> </w:t>
      </w:r>
      <w:r>
        <w:rPr/>
        <w:t>y</w:t>
      </w:r>
      <w:r>
        <w:rPr>
          <w:spacing w:val="-6"/>
        </w:rPr>
        <w:t> </w:t>
      </w:r>
      <w:r>
        <w:rPr/>
        <w:t>GC-2),</w:t>
      </w:r>
      <w:r>
        <w:rPr>
          <w:spacing w:val="-4"/>
        </w:rPr>
        <w:t> </w:t>
      </w:r>
      <w:r>
        <w:rPr/>
        <w:t>en las cuales se decidió suprimir la expresión de uno de los pseudogenes por cada línea</w:t>
      </w:r>
      <w:r>
        <w:rPr>
          <w:spacing w:val="-32"/>
        </w:rPr>
        <w:t> </w:t>
      </w:r>
      <w:r>
        <w:rPr/>
        <w:t>celular, de</w:t>
      </w:r>
      <w:r>
        <w:rPr>
          <w:spacing w:val="-6"/>
        </w:rPr>
        <w:t> </w:t>
      </w:r>
      <w:r>
        <w:rPr/>
        <w:t>esta</w:t>
      </w:r>
      <w:r>
        <w:rPr>
          <w:spacing w:val="-5"/>
        </w:rPr>
        <w:t> </w:t>
      </w:r>
      <w:r>
        <w:rPr/>
        <w:t>manera</w:t>
      </w:r>
      <w:r>
        <w:rPr>
          <w:spacing w:val="-6"/>
        </w:rPr>
        <w:t> </w:t>
      </w:r>
      <w:r>
        <w:rPr/>
        <w:t>se</w:t>
      </w:r>
      <w:r>
        <w:rPr>
          <w:spacing w:val="-6"/>
        </w:rPr>
        <w:t> </w:t>
      </w:r>
      <w:r>
        <w:rPr/>
        <w:t>editó</w:t>
      </w:r>
      <w:r>
        <w:rPr>
          <w:spacing w:val="-5"/>
        </w:rPr>
        <w:t> </w:t>
      </w:r>
      <w:r>
        <w:rPr/>
        <w:t>en</w:t>
      </w:r>
      <w:r>
        <w:rPr>
          <w:spacing w:val="-5"/>
        </w:rPr>
        <w:t> </w:t>
      </w:r>
      <w:r>
        <w:rPr/>
        <w:t>la</w:t>
      </w:r>
      <w:r>
        <w:rPr>
          <w:spacing w:val="-10"/>
        </w:rPr>
        <w:t> </w:t>
      </w:r>
      <w:r>
        <w:rPr/>
        <w:t>línea</w:t>
      </w:r>
      <w:r>
        <w:rPr>
          <w:spacing w:val="-3"/>
        </w:rPr>
        <w:t> </w:t>
      </w:r>
      <w:r>
        <w:rPr/>
        <w:t>celular</w:t>
      </w:r>
      <w:r>
        <w:rPr>
          <w:spacing w:val="-3"/>
        </w:rPr>
        <w:t> </w:t>
      </w:r>
      <w:r>
        <w:rPr/>
        <w:t>NIH-3T3</w:t>
      </w:r>
      <w:r>
        <w:rPr>
          <w:spacing w:val="-10"/>
        </w:rPr>
        <w:t> </w:t>
      </w:r>
      <w:r>
        <w:rPr/>
        <w:t>el</w:t>
      </w:r>
      <w:r>
        <w:rPr>
          <w:spacing w:val="-4"/>
        </w:rPr>
        <w:t> </w:t>
      </w:r>
      <w:r>
        <w:rPr/>
        <w:t>promotor</w:t>
      </w:r>
      <w:r>
        <w:rPr>
          <w:spacing w:val="-3"/>
        </w:rPr>
        <w:t> </w:t>
      </w:r>
      <w:r>
        <w:rPr/>
        <w:t>del</w:t>
      </w:r>
      <w:r>
        <w:rPr>
          <w:spacing w:val="-9"/>
        </w:rPr>
        <w:t> </w:t>
      </w:r>
      <w:r>
        <w:rPr/>
        <w:t>pseudogen</w:t>
      </w:r>
      <w:r>
        <w:rPr>
          <w:spacing w:val="-5"/>
        </w:rPr>
        <w:t> </w:t>
      </w:r>
      <w:r>
        <w:rPr/>
        <w:t>2,</w:t>
      </w:r>
      <w:r>
        <w:rPr>
          <w:spacing w:val="-3"/>
        </w:rPr>
        <w:t> </w:t>
      </w:r>
      <w:r>
        <w:rPr/>
        <w:t>en</w:t>
      </w:r>
      <w:r>
        <w:rPr>
          <w:spacing w:val="-10"/>
        </w:rPr>
        <w:t> </w:t>
      </w:r>
      <w:r>
        <w:rPr/>
        <w:t>GC-1</w:t>
      </w:r>
      <w:r>
        <w:rPr>
          <w:spacing w:val="-5"/>
        </w:rPr>
        <w:t> </w:t>
      </w:r>
      <w:r>
        <w:rPr/>
        <w:t>el pseudogen 1 y en GC-2 el pseudogen 3. La comprobación de la edición se llevó a cabo a través de PCR convencional.</w:t>
      </w:r>
    </w:p>
    <w:p>
      <w:pPr>
        <w:spacing w:before="4"/>
        <w:ind w:left="119" w:right="0" w:firstLine="0"/>
        <w:jc w:val="both"/>
        <w:rPr>
          <w:i/>
          <w:sz w:val="24"/>
        </w:rPr>
      </w:pPr>
      <w:r>
        <w:rPr>
          <w:i/>
          <w:sz w:val="24"/>
        </w:rPr>
        <w:t>OE1: Diseñar una pareja de gRNA por cada pseudogen a editar.</w:t>
      </w:r>
    </w:p>
    <w:p>
      <w:pPr>
        <w:pStyle w:val="BodyText"/>
        <w:rPr>
          <w:i/>
          <w:sz w:val="26"/>
        </w:rPr>
      </w:pPr>
    </w:p>
    <w:p>
      <w:pPr>
        <w:pStyle w:val="BodyText"/>
        <w:spacing w:before="10"/>
        <w:rPr>
          <w:i/>
          <w:sz w:val="21"/>
        </w:rPr>
      </w:pPr>
    </w:p>
    <w:p>
      <w:pPr>
        <w:pStyle w:val="ListParagraph"/>
        <w:numPr>
          <w:ilvl w:val="2"/>
          <w:numId w:val="5"/>
        </w:numPr>
        <w:tabs>
          <w:tab w:pos="662" w:val="left" w:leader="none"/>
        </w:tabs>
        <w:spacing w:line="240" w:lineRule="auto" w:before="0" w:after="0"/>
        <w:ind w:left="661" w:right="0" w:hanging="543"/>
        <w:jc w:val="both"/>
        <w:rPr>
          <w:b/>
          <w:sz w:val="24"/>
        </w:rPr>
      </w:pPr>
      <w:bookmarkStart w:name="_TOC_250013" w:id="17"/>
      <w:r>
        <w:rPr>
          <w:b/>
          <w:sz w:val="24"/>
        </w:rPr>
        <w:t>Edición</w:t>
      </w:r>
      <w:r>
        <w:rPr>
          <w:b/>
          <w:spacing w:val="1"/>
          <w:sz w:val="24"/>
        </w:rPr>
        <w:t> </w:t>
      </w:r>
      <w:bookmarkEnd w:id="17"/>
      <w:r>
        <w:rPr>
          <w:b/>
          <w:sz w:val="24"/>
        </w:rPr>
        <w:t>genomica</w:t>
      </w:r>
    </w:p>
    <w:p>
      <w:pPr>
        <w:pStyle w:val="BodyText"/>
        <w:rPr>
          <w:b/>
          <w:sz w:val="26"/>
        </w:rPr>
      </w:pPr>
    </w:p>
    <w:p>
      <w:pPr>
        <w:pStyle w:val="BodyText"/>
        <w:spacing w:before="2"/>
        <w:rPr>
          <w:b/>
          <w:sz w:val="22"/>
        </w:rPr>
      </w:pPr>
    </w:p>
    <w:p>
      <w:pPr>
        <w:pStyle w:val="ListParagraph"/>
        <w:numPr>
          <w:ilvl w:val="3"/>
          <w:numId w:val="5"/>
        </w:numPr>
        <w:tabs>
          <w:tab w:pos="845" w:val="left" w:leader="none"/>
        </w:tabs>
        <w:spacing w:line="240" w:lineRule="auto" w:before="0" w:after="0"/>
        <w:ind w:left="845" w:right="0" w:hanging="726"/>
        <w:jc w:val="left"/>
        <w:rPr>
          <w:b/>
          <w:sz w:val="24"/>
        </w:rPr>
      </w:pPr>
      <w:r>
        <w:rPr>
          <w:b/>
          <w:sz w:val="24"/>
        </w:rPr>
        <w:t>Desarrollo </w:t>
      </w:r>
      <w:r>
        <w:rPr>
          <w:b/>
          <w:i/>
          <w:sz w:val="24"/>
        </w:rPr>
        <w:t>in silico </w:t>
      </w:r>
      <w:r>
        <w:rPr>
          <w:b/>
          <w:sz w:val="24"/>
        </w:rPr>
        <w:t>de la secuencia del RNA</w:t>
      </w:r>
      <w:r>
        <w:rPr>
          <w:b/>
          <w:spacing w:val="3"/>
          <w:sz w:val="24"/>
        </w:rPr>
        <w:t> </w:t>
      </w:r>
      <w:r>
        <w:rPr>
          <w:b/>
          <w:sz w:val="24"/>
        </w:rPr>
        <w:t>guía</w:t>
      </w:r>
    </w:p>
    <w:p>
      <w:pPr>
        <w:pStyle w:val="BodyText"/>
        <w:rPr>
          <w:b/>
          <w:sz w:val="26"/>
        </w:rPr>
      </w:pPr>
    </w:p>
    <w:p>
      <w:pPr>
        <w:pStyle w:val="BodyText"/>
        <w:spacing w:before="10"/>
        <w:rPr>
          <w:b/>
          <w:sz w:val="21"/>
        </w:rPr>
      </w:pPr>
    </w:p>
    <w:p>
      <w:pPr>
        <w:pStyle w:val="BodyText"/>
        <w:tabs>
          <w:tab w:pos="5507" w:val="left" w:leader="none"/>
        </w:tabs>
        <w:spacing w:line="360" w:lineRule="auto"/>
        <w:ind w:left="119" w:right="1340" w:firstLine="302"/>
        <w:jc w:val="both"/>
      </w:pPr>
      <w:r>
        <w:rPr/>
        <w:t>Las secuencias de RNA guía que fueron unidas a la enzima Cas9 se seleccionaron de las regiones promotoras de los 3 pseudogenes. Estas se obtuvieron a partir de la secuencia genómica completa de cada uno de los pseudogenes (n°s de acceso: Rnf19aTPPg1:PGOMOU00000282062;</w:t>
        <w:tab/>
      </w:r>
      <w:r>
        <w:rPr>
          <w:spacing w:val="-1"/>
        </w:rPr>
        <w:t>Rnf19aP2:PGOMOU00000282093;</w:t>
      </w:r>
    </w:p>
    <w:p>
      <w:pPr>
        <w:pStyle w:val="BodyText"/>
        <w:spacing w:line="360" w:lineRule="auto" w:before="1"/>
        <w:ind w:left="119" w:right="1332"/>
        <w:jc w:val="both"/>
      </w:pPr>
      <w:r>
        <w:rPr/>
        <w:t>Rnf19aTPPg3:PGOMOU00000282095). A partir de esto se analizó una zona de corte para cada</w:t>
      </w:r>
      <w:r>
        <w:rPr>
          <w:spacing w:val="-15"/>
        </w:rPr>
        <w:t> </w:t>
      </w:r>
      <w:r>
        <w:rPr/>
        <w:t>uno</w:t>
      </w:r>
      <w:r>
        <w:rPr>
          <w:spacing w:val="-14"/>
        </w:rPr>
        <w:t> </w:t>
      </w:r>
      <w:r>
        <w:rPr/>
        <w:t>de</w:t>
      </w:r>
      <w:r>
        <w:rPr>
          <w:spacing w:val="-14"/>
        </w:rPr>
        <w:t> </w:t>
      </w:r>
      <w:r>
        <w:rPr/>
        <w:t>los</w:t>
      </w:r>
      <w:r>
        <w:rPr>
          <w:spacing w:val="-16"/>
        </w:rPr>
        <w:t> </w:t>
      </w:r>
      <w:r>
        <w:rPr/>
        <w:t>pseudogenes,</w:t>
      </w:r>
      <w:r>
        <w:rPr>
          <w:spacing w:val="-12"/>
        </w:rPr>
        <w:t> </w:t>
      </w:r>
      <w:r>
        <w:rPr/>
        <w:t>la</w:t>
      </w:r>
      <w:r>
        <w:rPr>
          <w:spacing w:val="-14"/>
        </w:rPr>
        <w:t> </w:t>
      </w:r>
      <w:r>
        <w:rPr/>
        <w:t>cual</w:t>
      </w:r>
      <w:r>
        <w:rPr>
          <w:spacing w:val="-14"/>
        </w:rPr>
        <w:t> </w:t>
      </w:r>
      <w:r>
        <w:rPr/>
        <w:t>fue</w:t>
      </w:r>
      <w:r>
        <w:rPr>
          <w:spacing w:val="-15"/>
        </w:rPr>
        <w:t> </w:t>
      </w:r>
      <w:r>
        <w:rPr/>
        <w:t>diseñada</w:t>
      </w:r>
      <w:r>
        <w:rPr>
          <w:spacing w:val="-10"/>
        </w:rPr>
        <w:t> </w:t>
      </w:r>
      <w:r>
        <w:rPr/>
        <w:t>mediante</w:t>
      </w:r>
      <w:r>
        <w:rPr>
          <w:spacing w:val="-15"/>
        </w:rPr>
        <w:t> </w:t>
      </w:r>
      <w:r>
        <w:rPr/>
        <w:t>el</w:t>
      </w:r>
      <w:r>
        <w:rPr>
          <w:spacing w:val="-14"/>
        </w:rPr>
        <w:t> </w:t>
      </w:r>
      <w:r>
        <w:rPr/>
        <w:t>programa</w:t>
      </w:r>
      <w:r>
        <w:rPr>
          <w:spacing w:val="-14"/>
        </w:rPr>
        <w:t> </w:t>
      </w:r>
      <w:r>
        <w:rPr/>
        <w:t>bioinformático</w:t>
      </w:r>
      <w:r>
        <w:rPr>
          <w:spacing w:val="-15"/>
        </w:rPr>
        <w:t> </w:t>
      </w:r>
      <w:r>
        <w:rPr/>
        <w:t>Chop Chop utilizando la técnica de corte doble con CRISPR (Song et al., 2017), con el fin de eliminar la región que contiene la caja TATA en cada una de las regiones promotoras. Esto con el objetivo de que los pseudogenes perdieran </w:t>
      </w:r>
      <w:r>
        <w:rPr>
          <w:spacing w:val="-4"/>
        </w:rPr>
        <w:t>su </w:t>
      </w:r>
      <w:r>
        <w:rPr/>
        <w:t>capacidad de transcribirse. Para esto se diseñaron un par de gRNAs que flanquearan la zona de la secuencia </w:t>
      </w:r>
      <w:r>
        <w:rPr>
          <w:spacing w:val="3"/>
        </w:rPr>
        <w:t>en </w:t>
      </w:r>
      <w:r>
        <w:rPr/>
        <w:t>donde se encuentre la caja TATA de cada uno de estos pseudogenes, cortando e inhibiendo la transcripción. Además, se ha decidido seleccionar un solo pseudogen para eliminar por línea celular por lo tanto</w:t>
      </w:r>
      <w:r>
        <w:rPr>
          <w:spacing w:val="-1"/>
        </w:rPr>
        <w:t> </w:t>
      </w:r>
      <w:r>
        <w:rPr/>
        <w:t>para</w:t>
      </w:r>
      <w:r>
        <w:rPr>
          <w:spacing w:val="-6"/>
        </w:rPr>
        <w:t> </w:t>
      </w:r>
      <w:r>
        <w:rPr/>
        <w:t>la</w:t>
      </w:r>
      <w:r>
        <w:rPr>
          <w:spacing w:val="-6"/>
        </w:rPr>
        <w:t> </w:t>
      </w:r>
      <w:r>
        <w:rPr/>
        <w:t>línea</w:t>
      </w:r>
      <w:r>
        <w:rPr>
          <w:spacing w:val="-1"/>
        </w:rPr>
        <w:t> </w:t>
      </w:r>
      <w:r>
        <w:rPr/>
        <w:t>germinal</w:t>
      </w:r>
      <w:r>
        <w:rPr>
          <w:spacing w:val="-1"/>
        </w:rPr>
        <w:t> </w:t>
      </w:r>
      <w:r>
        <w:rPr/>
        <w:t>GC-1 se</w:t>
      </w:r>
      <w:r>
        <w:rPr>
          <w:spacing w:val="-2"/>
        </w:rPr>
        <w:t> </w:t>
      </w:r>
      <w:r>
        <w:rPr/>
        <w:t>ha</w:t>
      </w:r>
      <w:r>
        <w:rPr>
          <w:spacing w:val="-6"/>
        </w:rPr>
        <w:t> </w:t>
      </w:r>
      <w:r>
        <w:rPr/>
        <w:t>decidido</w:t>
      </w:r>
      <w:r>
        <w:rPr>
          <w:spacing w:val="-5"/>
        </w:rPr>
        <w:t> </w:t>
      </w:r>
      <w:r>
        <w:rPr/>
        <w:t>eliminar</w:t>
      </w:r>
      <w:r>
        <w:rPr>
          <w:spacing w:val="1"/>
        </w:rPr>
        <w:t> </w:t>
      </w:r>
      <w:r>
        <w:rPr/>
        <w:t>el</w:t>
      </w:r>
      <w:r>
        <w:rPr>
          <w:spacing w:val="-5"/>
        </w:rPr>
        <w:t> </w:t>
      </w:r>
      <w:r>
        <w:rPr/>
        <w:t>promotor</w:t>
      </w:r>
      <w:r>
        <w:rPr>
          <w:spacing w:val="-4"/>
        </w:rPr>
        <w:t> </w:t>
      </w:r>
      <w:r>
        <w:rPr/>
        <w:t>del</w:t>
      </w:r>
      <w:r>
        <w:rPr>
          <w:spacing w:val="-5"/>
        </w:rPr>
        <w:t> </w:t>
      </w:r>
      <w:r>
        <w:rPr/>
        <w:t>Pseudogen 1,</w:t>
      </w:r>
      <w:r>
        <w:rPr>
          <w:spacing w:val="-3"/>
        </w:rPr>
        <w:t> </w:t>
      </w:r>
      <w:r>
        <w:rPr/>
        <w:t>para la línea GC-2 el promotor del pseudogen 3 y por último para la línea 3T3 el promotor del pseudogen</w:t>
      </w:r>
      <w:r>
        <w:rPr>
          <w:spacing w:val="1"/>
        </w:rPr>
        <w:t> </w:t>
      </w:r>
      <w:r>
        <w:rPr/>
        <w:t>2.</w:t>
      </w:r>
    </w:p>
    <w:p>
      <w:pPr>
        <w:spacing w:after="0" w:line="360" w:lineRule="auto"/>
        <w:jc w:val="both"/>
        <w:sectPr>
          <w:pgSz w:w="12240" w:h="15840"/>
          <w:pgMar w:header="7" w:footer="0" w:top="1040" w:bottom="280" w:left="1580" w:right="360"/>
        </w:sectPr>
      </w:pPr>
    </w:p>
    <w:p>
      <w:pPr>
        <w:pStyle w:val="ListParagraph"/>
        <w:numPr>
          <w:ilvl w:val="3"/>
          <w:numId w:val="5"/>
        </w:numPr>
        <w:tabs>
          <w:tab w:pos="845" w:val="left" w:leader="none"/>
        </w:tabs>
        <w:spacing w:line="240" w:lineRule="auto" w:before="80" w:after="0"/>
        <w:ind w:left="845" w:right="0" w:hanging="726"/>
        <w:jc w:val="left"/>
        <w:rPr>
          <w:b/>
          <w:sz w:val="24"/>
        </w:rPr>
      </w:pPr>
      <w:bookmarkStart w:name="_TOC_250012" w:id="18"/>
      <w:r>
        <w:rPr>
          <w:b/>
          <w:sz w:val="24"/>
        </w:rPr>
        <w:t>Clonación en plásmido</w:t>
      </w:r>
      <w:r>
        <w:rPr>
          <w:b/>
          <w:spacing w:val="-8"/>
          <w:sz w:val="24"/>
        </w:rPr>
        <w:t> </w:t>
      </w:r>
      <w:bookmarkEnd w:id="18"/>
      <w:r>
        <w:rPr>
          <w:b/>
          <w:sz w:val="24"/>
        </w:rPr>
        <w:t>pespCas9-puro</w:t>
      </w:r>
    </w:p>
    <w:p>
      <w:pPr>
        <w:pStyle w:val="BodyText"/>
        <w:rPr>
          <w:b/>
          <w:sz w:val="26"/>
        </w:rPr>
      </w:pPr>
    </w:p>
    <w:p>
      <w:pPr>
        <w:pStyle w:val="BodyText"/>
        <w:spacing w:before="2"/>
        <w:rPr>
          <w:b/>
          <w:sz w:val="22"/>
        </w:rPr>
      </w:pPr>
    </w:p>
    <w:p>
      <w:pPr>
        <w:pStyle w:val="BodyText"/>
        <w:spacing w:line="357" w:lineRule="auto" w:before="1"/>
        <w:ind w:left="119" w:right="1335" w:firstLine="302"/>
        <w:jc w:val="both"/>
      </w:pPr>
      <w:r>
        <w:rPr/>
        <w:drawing>
          <wp:anchor distT="0" distB="0" distL="0" distR="0" allowOverlap="1" layoutInCell="1" locked="0" behindDoc="0" simplePos="0" relativeHeight="3">
            <wp:simplePos x="0" y="0"/>
            <wp:positionH relativeFrom="page">
              <wp:posOffset>2227802</wp:posOffset>
            </wp:positionH>
            <wp:positionV relativeFrom="paragraph">
              <wp:posOffset>2685425</wp:posOffset>
            </wp:positionV>
            <wp:extent cx="4014840" cy="3545586"/>
            <wp:effectExtent l="0" t="0" r="0" b="0"/>
            <wp:wrapTopAndBottom/>
            <wp:docPr id="15" name="image8.jpeg"/>
            <wp:cNvGraphicFramePr>
              <a:graphicFrameLocks noChangeAspect="1"/>
            </wp:cNvGraphicFramePr>
            <a:graphic>
              <a:graphicData uri="http://schemas.openxmlformats.org/drawingml/2006/picture">
                <pic:pic>
                  <pic:nvPicPr>
                    <pic:cNvPr id="16" name="image8.jpeg"/>
                    <pic:cNvPicPr/>
                  </pic:nvPicPr>
                  <pic:blipFill>
                    <a:blip r:embed="rId15" cstate="print"/>
                    <a:stretch>
                      <a:fillRect/>
                    </a:stretch>
                  </pic:blipFill>
                  <pic:spPr>
                    <a:xfrm>
                      <a:off x="0" y="0"/>
                      <a:ext cx="4014840" cy="3545586"/>
                    </a:xfrm>
                    <a:prstGeom prst="rect">
                      <a:avLst/>
                    </a:prstGeom>
                  </pic:spPr>
                </pic:pic>
              </a:graphicData>
            </a:graphic>
          </wp:anchor>
        </w:drawing>
      </w:r>
      <w:r>
        <w:rPr/>
        <w:t>Los RNA guías generados a partir del análisis de las secuencias promotoras de los 3 pseudogenes fueron unidos al plásmido eSpCas9(1.1)-T2A mediante enzimas de restricción y la DNA ligasa, para luego ser transfectados a un cultivo de bacterias competentes. Para seleccionar aquellas colonias que contenían el plásmido, estas se cultivaron en presencia de ampicilina. Luego se hizo crecer para cada una de las construcciones, una colonia aislada</w:t>
      </w:r>
      <w:r>
        <w:rPr>
          <w:spacing w:val="-28"/>
        </w:rPr>
        <w:t> </w:t>
      </w:r>
      <w:r>
        <w:rPr/>
        <w:t>en un tubo de ensayo para bacterias, del cual se tomó 1µl para comprobar a través de PCR convencional la presencia del inserto. Una vez obtenidas las colonias que contenían el plásmido</w:t>
      </w:r>
      <w:r>
        <w:rPr>
          <w:spacing w:val="-5"/>
        </w:rPr>
        <w:t> </w:t>
      </w:r>
      <w:r>
        <w:rPr/>
        <w:t>con</w:t>
      </w:r>
      <w:r>
        <w:rPr>
          <w:spacing w:val="-4"/>
        </w:rPr>
        <w:t> </w:t>
      </w:r>
      <w:r>
        <w:rPr/>
        <w:t>el</w:t>
      </w:r>
      <w:r>
        <w:rPr>
          <w:spacing w:val="-3"/>
        </w:rPr>
        <w:t> </w:t>
      </w:r>
      <w:r>
        <w:rPr/>
        <w:t>inserto,</w:t>
      </w:r>
      <w:r>
        <w:rPr>
          <w:spacing w:val="-1"/>
        </w:rPr>
        <w:t> </w:t>
      </w:r>
      <w:r>
        <w:rPr/>
        <w:t>se</w:t>
      </w:r>
      <w:r>
        <w:rPr>
          <w:spacing w:val="-5"/>
        </w:rPr>
        <w:t> </w:t>
      </w:r>
      <w:r>
        <w:rPr/>
        <w:t>extrajo</w:t>
      </w:r>
      <w:r>
        <w:rPr>
          <w:spacing w:val="-3"/>
        </w:rPr>
        <w:t> </w:t>
      </w:r>
      <w:r>
        <w:rPr/>
        <w:t>el</w:t>
      </w:r>
      <w:r>
        <w:rPr>
          <w:spacing w:val="-3"/>
        </w:rPr>
        <w:t> </w:t>
      </w:r>
      <w:r>
        <w:rPr/>
        <w:t>DNA</w:t>
      </w:r>
      <w:r>
        <w:rPr>
          <w:spacing w:val="-4"/>
        </w:rPr>
        <w:t> </w:t>
      </w:r>
      <w:r>
        <w:rPr/>
        <w:t>mediante</w:t>
      </w:r>
      <w:r>
        <w:rPr>
          <w:spacing w:val="-5"/>
        </w:rPr>
        <w:t> </w:t>
      </w:r>
      <w:r>
        <w:rPr/>
        <w:t>un</w:t>
      </w:r>
      <w:r>
        <w:rPr>
          <w:spacing w:val="-4"/>
        </w:rPr>
        <w:t> </w:t>
      </w:r>
      <w:r>
        <w:rPr/>
        <w:t>kit</w:t>
      </w:r>
      <w:r>
        <w:rPr>
          <w:spacing w:val="-3"/>
        </w:rPr>
        <w:t> </w:t>
      </w:r>
      <w:r>
        <w:rPr/>
        <w:t>de</w:t>
      </w:r>
      <w:r>
        <w:rPr>
          <w:spacing w:val="-5"/>
        </w:rPr>
        <w:t> </w:t>
      </w:r>
      <w:r>
        <w:rPr/>
        <w:t>miniprep</w:t>
      </w:r>
      <w:r>
        <w:rPr>
          <w:spacing w:val="-4"/>
        </w:rPr>
        <w:t> </w:t>
      </w:r>
      <w:r>
        <w:rPr/>
        <w:t>especial</w:t>
      </w:r>
      <w:r>
        <w:rPr>
          <w:spacing w:val="-4"/>
        </w:rPr>
        <w:t> </w:t>
      </w:r>
      <w:r>
        <w:rPr/>
        <w:t>que</w:t>
      </w:r>
      <w:r>
        <w:rPr>
          <w:spacing w:val="-5"/>
        </w:rPr>
        <w:t> </w:t>
      </w:r>
      <w:r>
        <w:rPr/>
        <w:t>elimina las endotoxinas bacterianas (, The PureYield </w:t>
      </w:r>
      <w:r>
        <w:rPr>
          <w:position w:val="9"/>
          <w:sz w:val="16"/>
        </w:rPr>
        <w:t>TM </w:t>
      </w:r>
      <w:r>
        <w:rPr/>
        <w:t>Plasmid Miniprep System, Promega,USA). Este DNA luego fue utilizado para transfectar las células</w:t>
      </w:r>
      <w:r>
        <w:rPr>
          <w:spacing w:val="-5"/>
        </w:rPr>
        <w:t> </w:t>
      </w:r>
      <w:r>
        <w:rPr/>
        <w:t>eucariotas.</w:t>
      </w:r>
    </w:p>
    <w:p>
      <w:pPr>
        <w:pStyle w:val="BodyText"/>
        <w:spacing w:before="7"/>
        <w:rPr>
          <w:sz w:val="25"/>
        </w:rPr>
      </w:pPr>
    </w:p>
    <w:p>
      <w:pPr>
        <w:spacing w:line="360" w:lineRule="auto" w:before="0"/>
        <w:ind w:left="119" w:right="1786" w:firstLine="782"/>
        <w:jc w:val="left"/>
        <w:rPr>
          <w:i/>
          <w:sz w:val="24"/>
        </w:rPr>
      </w:pPr>
      <w:r>
        <w:rPr>
          <w:sz w:val="24"/>
        </w:rPr>
        <w:t>Figura 3.1. </w:t>
      </w:r>
      <w:r>
        <w:rPr>
          <w:i/>
          <w:sz w:val="24"/>
        </w:rPr>
        <w:t>Representación del plásmido eSpCas9(1.1)-T2A. (Addgene plasmid </w:t>
      </w:r>
      <w:r>
        <w:rPr>
          <w:i/>
          <w:sz w:val="24"/>
        </w:rPr>
        <w:t>#101039)</w:t>
      </w:r>
    </w:p>
    <w:p>
      <w:pPr>
        <w:spacing w:after="0" w:line="360" w:lineRule="auto"/>
        <w:jc w:val="left"/>
        <w:rPr>
          <w:sz w:val="24"/>
        </w:rPr>
        <w:sectPr>
          <w:pgSz w:w="12240" w:h="15840"/>
          <w:pgMar w:header="7" w:footer="0" w:top="1040" w:bottom="280" w:left="1580" w:right="360"/>
        </w:sectPr>
      </w:pPr>
    </w:p>
    <w:p>
      <w:pPr>
        <w:spacing w:line="360" w:lineRule="auto" w:before="80"/>
        <w:ind w:left="119" w:right="1311" w:firstLine="0"/>
        <w:jc w:val="left"/>
        <w:rPr>
          <w:i/>
          <w:sz w:val="24"/>
        </w:rPr>
      </w:pPr>
      <w:r>
        <w:rPr>
          <w:i/>
          <w:sz w:val="24"/>
        </w:rPr>
        <w:t>OE2: Editar genéticamente los promotores de los tres pseudogenes de Rnf19a mediante la </w:t>
      </w:r>
      <w:r>
        <w:rPr>
          <w:i/>
          <w:sz w:val="24"/>
        </w:rPr>
        <w:t>transfección de parejas de gRNAs.</w:t>
      </w:r>
    </w:p>
    <w:p>
      <w:pPr>
        <w:pStyle w:val="BodyText"/>
        <w:spacing w:before="4"/>
        <w:rPr>
          <w:i/>
          <w:sz w:val="30"/>
        </w:rPr>
      </w:pPr>
    </w:p>
    <w:p>
      <w:pPr>
        <w:pStyle w:val="ListParagraph"/>
        <w:numPr>
          <w:ilvl w:val="3"/>
          <w:numId w:val="5"/>
        </w:numPr>
        <w:tabs>
          <w:tab w:pos="845" w:val="left" w:leader="none"/>
        </w:tabs>
        <w:spacing w:line="240" w:lineRule="auto" w:before="0" w:after="0"/>
        <w:ind w:left="845" w:right="0" w:hanging="726"/>
        <w:jc w:val="both"/>
        <w:rPr>
          <w:b/>
          <w:sz w:val="24"/>
        </w:rPr>
      </w:pPr>
      <w:bookmarkStart w:name="_TOC_250011" w:id="19"/>
      <w:r>
        <w:rPr>
          <w:b/>
          <w:sz w:val="24"/>
        </w:rPr>
        <w:t>Transfección de construcción Cas9-promotor</w:t>
      </w:r>
      <w:r>
        <w:rPr>
          <w:b/>
          <w:spacing w:val="1"/>
          <w:sz w:val="24"/>
        </w:rPr>
        <w:t> </w:t>
      </w:r>
      <w:bookmarkEnd w:id="19"/>
      <w:r>
        <w:rPr>
          <w:b/>
          <w:sz w:val="24"/>
        </w:rPr>
        <w:t>pseudogenes</w:t>
      </w:r>
    </w:p>
    <w:p>
      <w:pPr>
        <w:pStyle w:val="BodyText"/>
        <w:spacing w:line="360" w:lineRule="auto" w:before="137"/>
        <w:ind w:left="119" w:right="1334" w:firstLine="302"/>
        <w:jc w:val="both"/>
      </w:pPr>
      <w:r>
        <w:rPr/>
        <w:t>Los</w:t>
      </w:r>
      <w:r>
        <w:rPr>
          <w:spacing w:val="-7"/>
        </w:rPr>
        <w:t> </w:t>
      </w:r>
      <w:r>
        <w:rPr/>
        <w:t>plásmidos</w:t>
      </w:r>
      <w:r>
        <w:rPr>
          <w:spacing w:val="-7"/>
        </w:rPr>
        <w:t> </w:t>
      </w:r>
      <w:r>
        <w:rPr/>
        <w:t>Cas9</w:t>
      </w:r>
      <w:r>
        <w:rPr>
          <w:spacing w:val="-4"/>
        </w:rPr>
        <w:t> </w:t>
      </w:r>
      <w:r>
        <w:rPr/>
        <w:t>unidos</w:t>
      </w:r>
      <w:r>
        <w:rPr>
          <w:spacing w:val="-7"/>
        </w:rPr>
        <w:t> </w:t>
      </w:r>
      <w:r>
        <w:rPr/>
        <w:t>al</w:t>
      </w:r>
      <w:r>
        <w:rPr>
          <w:spacing w:val="-9"/>
        </w:rPr>
        <w:t> </w:t>
      </w:r>
      <w:r>
        <w:rPr/>
        <w:t>RNA</w:t>
      </w:r>
      <w:r>
        <w:rPr>
          <w:spacing w:val="-10"/>
        </w:rPr>
        <w:t> </w:t>
      </w:r>
      <w:r>
        <w:rPr/>
        <w:t>guía</w:t>
      </w:r>
      <w:r>
        <w:rPr>
          <w:spacing w:val="-10"/>
        </w:rPr>
        <w:t> </w:t>
      </w:r>
      <w:r>
        <w:rPr/>
        <w:t>fueron</w:t>
      </w:r>
      <w:r>
        <w:rPr>
          <w:spacing w:val="-13"/>
        </w:rPr>
        <w:t> </w:t>
      </w:r>
      <w:r>
        <w:rPr/>
        <w:t>transfectados</w:t>
      </w:r>
      <w:r>
        <w:rPr>
          <w:spacing w:val="-6"/>
        </w:rPr>
        <w:t> </w:t>
      </w:r>
      <w:r>
        <w:rPr/>
        <w:t>a</w:t>
      </w:r>
      <w:r>
        <w:rPr>
          <w:spacing w:val="-6"/>
        </w:rPr>
        <w:t> </w:t>
      </w:r>
      <w:r>
        <w:rPr/>
        <w:t>los</w:t>
      </w:r>
      <w:r>
        <w:rPr>
          <w:spacing w:val="-10"/>
        </w:rPr>
        <w:t> </w:t>
      </w:r>
      <w:r>
        <w:rPr/>
        <w:t>cultivos</w:t>
      </w:r>
      <w:r>
        <w:rPr>
          <w:spacing w:val="-7"/>
        </w:rPr>
        <w:t> </w:t>
      </w:r>
      <w:r>
        <w:rPr/>
        <w:t>celulares</w:t>
      </w:r>
      <w:r>
        <w:rPr>
          <w:spacing w:val="-11"/>
        </w:rPr>
        <w:t> </w:t>
      </w:r>
      <w:r>
        <w:rPr/>
        <w:t>para llevar a cabo la edición genómica, y así eliminar los promotores de los pseudogenes de </w:t>
      </w:r>
      <w:r>
        <w:rPr>
          <w:i/>
        </w:rPr>
        <w:t>Rnf19a</w:t>
      </w:r>
      <w:r>
        <w:rPr/>
        <w:t>. Para ello se utilizó el reactivo de transfección Turbofect Transfection Reagent (Thermo Scientific, USA) y Lipofectamine 3000</w:t>
      </w:r>
      <w:r>
        <w:rPr>
          <w:spacing w:val="-1"/>
        </w:rPr>
        <w:t> </w:t>
      </w:r>
      <w:r>
        <w:rPr/>
        <w:t>reagent.</w:t>
      </w:r>
    </w:p>
    <w:p>
      <w:pPr>
        <w:pStyle w:val="BodyText"/>
        <w:spacing w:line="360" w:lineRule="auto"/>
        <w:ind w:left="119" w:right="1337" w:firstLine="365"/>
        <w:jc w:val="both"/>
      </w:pPr>
      <w:r>
        <w:rPr/>
        <w:t>Se realizó el proceso de transfección de las construcciones de RNA guía unido a Cas9, además del plásmido eSpCas9(1.1)-T2A con un inserto para zona específica del genoma murino (control positivo) y con un inserto que contiene una secuencia que no está presente en el genoma murino (control negativo) en las líneas celulares NIH/3T3, GC-1 y GC-2, siguiendo las instrucciones respectivas descritas en el protocolo del fabricante. Para esto, se sembró</w:t>
      </w:r>
      <w:r>
        <w:rPr>
          <w:spacing w:val="-9"/>
        </w:rPr>
        <w:t> </w:t>
      </w:r>
      <w:r>
        <w:rPr/>
        <w:t>una</w:t>
      </w:r>
      <w:r>
        <w:rPr>
          <w:spacing w:val="-10"/>
        </w:rPr>
        <w:t> </w:t>
      </w:r>
      <w:r>
        <w:rPr/>
        <w:t>cantidad</w:t>
      </w:r>
      <w:r>
        <w:rPr>
          <w:spacing w:val="-9"/>
        </w:rPr>
        <w:t> </w:t>
      </w:r>
      <w:r>
        <w:rPr/>
        <w:t>de</w:t>
      </w:r>
      <w:r>
        <w:rPr>
          <w:spacing w:val="-9"/>
        </w:rPr>
        <w:t> </w:t>
      </w:r>
      <w:r>
        <w:rPr/>
        <w:t>100.000</w:t>
      </w:r>
      <w:r>
        <w:rPr>
          <w:spacing w:val="-9"/>
        </w:rPr>
        <w:t> </w:t>
      </w:r>
      <w:r>
        <w:rPr/>
        <w:t>células</w:t>
      </w:r>
      <w:r>
        <w:rPr>
          <w:spacing w:val="-11"/>
        </w:rPr>
        <w:t> </w:t>
      </w:r>
      <w:r>
        <w:rPr/>
        <w:t>en</w:t>
      </w:r>
      <w:r>
        <w:rPr>
          <w:spacing w:val="-8"/>
        </w:rPr>
        <w:t> </w:t>
      </w:r>
      <w:r>
        <w:rPr/>
        <w:t>cada</w:t>
      </w:r>
      <w:r>
        <w:rPr>
          <w:spacing w:val="-10"/>
        </w:rPr>
        <w:t> </w:t>
      </w:r>
      <w:r>
        <w:rPr/>
        <w:t>pocillo</w:t>
      </w:r>
      <w:r>
        <w:rPr>
          <w:spacing w:val="-8"/>
        </w:rPr>
        <w:t> </w:t>
      </w:r>
      <w:r>
        <w:rPr/>
        <w:t>en</w:t>
      </w:r>
      <w:r>
        <w:rPr>
          <w:spacing w:val="-8"/>
        </w:rPr>
        <w:t> </w:t>
      </w:r>
      <w:r>
        <w:rPr/>
        <w:t>placas</w:t>
      </w:r>
      <w:r>
        <w:rPr>
          <w:spacing w:val="-11"/>
        </w:rPr>
        <w:t> </w:t>
      </w:r>
      <w:r>
        <w:rPr/>
        <w:t>de</w:t>
      </w:r>
      <w:r>
        <w:rPr>
          <w:spacing w:val="-10"/>
        </w:rPr>
        <w:t> </w:t>
      </w:r>
      <w:r>
        <w:rPr/>
        <w:t>6</w:t>
      </w:r>
      <w:r>
        <w:rPr>
          <w:spacing w:val="-8"/>
        </w:rPr>
        <w:t> </w:t>
      </w:r>
      <w:r>
        <w:rPr/>
        <w:t>pocillos</w:t>
      </w:r>
      <w:r>
        <w:rPr>
          <w:spacing w:val="-10"/>
        </w:rPr>
        <w:t> </w:t>
      </w:r>
      <w:r>
        <w:rPr/>
        <w:t>para</w:t>
      </w:r>
      <w:r>
        <w:rPr>
          <w:spacing w:val="-10"/>
        </w:rPr>
        <w:t> </w:t>
      </w:r>
      <w:r>
        <w:rPr/>
        <w:t>cada</w:t>
      </w:r>
      <w:r>
        <w:rPr>
          <w:spacing w:val="-9"/>
        </w:rPr>
        <w:t> </w:t>
      </w:r>
      <w:r>
        <w:rPr/>
        <w:t>una de</w:t>
      </w:r>
      <w:r>
        <w:rPr>
          <w:spacing w:val="-11"/>
        </w:rPr>
        <w:t> </w:t>
      </w:r>
      <w:r>
        <w:rPr/>
        <w:t>las</w:t>
      </w:r>
      <w:r>
        <w:rPr>
          <w:spacing w:val="-12"/>
        </w:rPr>
        <w:t> </w:t>
      </w:r>
      <w:r>
        <w:rPr/>
        <w:t>líneas</w:t>
      </w:r>
      <w:r>
        <w:rPr>
          <w:spacing w:val="-11"/>
        </w:rPr>
        <w:t> </w:t>
      </w:r>
      <w:r>
        <w:rPr/>
        <w:t>celulares</w:t>
      </w:r>
      <w:r>
        <w:rPr>
          <w:spacing w:val="-12"/>
        </w:rPr>
        <w:t> </w:t>
      </w:r>
      <w:r>
        <w:rPr/>
        <w:t>esperando</w:t>
      </w:r>
      <w:r>
        <w:rPr>
          <w:spacing w:val="-9"/>
        </w:rPr>
        <w:t> </w:t>
      </w:r>
      <w:r>
        <w:rPr/>
        <w:t>una</w:t>
      </w:r>
      <w:r>
        <w:rPr>
          <w:spacing w:val="-11"/>
        </w:rPr>
        <w:t> </w:t>
      </w:r>
      <w:r>
        <w:rPr/>
        <w:t>confluencia</w:t>
      </w:r>
      <w:r>
        <w:rPr>
          <w:spacing w:val="-10"/>
        </w:rPr>
        <w:t> </w:t>
      </w:r>
      <w:r>
        <w:rPr/>
        <w:t>adecuada</w:t>
      </w:r>
      <w:r>
        <w:rPr>
          <w:spacing w:val="-10"/>
        </w:rPr>
        <w:t> </w:t>
      </w:r>
      <w:r>
        <w:rPr/>
        <w:t>aproximada</w:t>
      </w:r>
      <w:r>
        <w:rPr>
          <w:spacing w:val="-11"/>
        </w:rPr>
        <w:t> </w:t>
      </w:r>
      <w:r>
        <w:rPr/>
        <w:t>del</w:t>
      </w:r>
      <w:r>
        <w:rPr>
          <w:spacing w:val="-9"/>
        </w:rPr>
        <w:t> </w:t>
      </w:r>
      <w:r>
        <w:rPr/>
        <w:t>70%</w:t>
      </w:r>
      <w:r>
        <w:rPr>
          <w:spacing w:val="-7"/>
        </w:rPr>
        <w:t> </w:t>
      </w:r>
      <w:r>
        <w:rPr/>
        <w:t>a</w:t>
      </w:r>
      <w:r>
        <w:rPr>
          <w:spacing w:val="-15"/>
        </w:rPr>
        <w:t> </w:t>
      </w:r>
      <w:r>
        <w:rPr/>
        <w:t>las</w:t>
      </w:r>
      <w:r>
        <w:rPr>
          <w:spacing w:val="-11"/>
        </w:rPr>
        <w:t> </w:t>
      </w:r>
      <w:r>
        <w:rPr/>
        <w:t>24</w:t>
      </w:r>
      <w:r>
        <w:rPr>
          <w:spacing w:val="-10"/>
        </w:rPr>
        <w:t> </w:t>
      </w:r>
      <w:r>
        <w:rPr/>
        <w:t>hrs., según las indicaciones del protocolo de transfección del reactivo Turbofect Transfection Reagent. Etiquetadas y sembradas las placas fueron llevadas a la incubadora a una temperatura de 37° C y una atmósfera del 5% de de CO2. A las 24 hrs. post-siembra, las placas se observaron en el microscopio óptico. Luego se procedió a realizar la transfección de las células usando el reactivo de transfección descrito antes y siguiendo atentamente las instrucciones del fabricante. Llevado a cabo este proceso, se dejan nuevamente las placas</w:t>
      </w:r>
      <w:r>
        <w:rPr>
          <w:spacing w:val="-37"/>
        </w:rPr>
        <w:t> </w:t>
      </w:r>
      <w:r>
        <w:rPr/>
        <w:t>en la incubadora por 24 hrs más. Pasadas las 24 hrs post transfección, se observaron las placas nuevamente</w:t>
      </w:r>
      <w:r>
        <w:rPr>
          <w:spacing w:val="-11"/>
        </w:rPr>
        <w:t> </w:t>
      </w:r>
      <w:r>
        <w:rPr/>
        <w:t>bajo</w:t>
      </w:r>
      <w:r>
        <w:rPr>
          <w:spacing w:val="-9"/>
        </w:rPr>
        <w:t> </w:t>
      </w:r>
      <w:r>
        <w:rPr/>
        <w:t>el</w:t>
      </w:r>
      <w:r>
        <w:rPr>
          <w:spacing w:val="-9"/>
        </w:rPr>
        <w:t> </w:t>
      </w:r>
      <w:r>
        <w:rPr/>
        <w:t>microscopio</w:t>
      </w:r>
      <w:r>
        <w:rPr>
          <w:spacing w:val="-9"/>
        </w:rPr>
        <w:t> </w:t>
      </w:r>
      <w:r>
        <w:rPr/>
        <w:t>óptico,</w:t>
      </w:r>
      <w:r>
        <w:rPr>
          <w:spacing w:val="-11"/>
        </w:rPr>
        <w:t> </w:t>
      </w:r>
      <w:r>
        <w:rPr/>
        <w:t>se</w:t>
      </w:r>
      <w:r>
        <w:rPr>
          <w:spacing w:val="-11"/>
        </w:rPr>
        <w:t> </w:t>
      </w:r>
      <w:r>
        <w:rPr/>
        <w:t>le</w:t>
      </w:r>
      <w:r>
        <w:rPr>
          <w:spacing w:val="-10"/>
        </w:rPr>
        <w:t> </w:t>
      </w:r>
      <w:r>
        <w:rPr/>
        <w:t>cambió</w:t>
      </w:r>
      <w:r>
        <w:rPr>
          <w:spacing w:val="-10"/>
        </w:rPr>
        <w:t> </w:t>
      </w:r>
      <w:r>
        <w:rPr/>
        <w:t>a</w:t>
      </w:r>
      <w:r>
        <w:rPr>
          <w:spacing w:val="-10"/>
        </w:rPr>
        <w:t> </w:t>
      </w:r>
      <w:r>
        <w:rPr/>
        <w:t>cada</w:t>
      </w:r>
      <w:r>
        <w:rPr>
          <w:spacing w:val="-11"/>
        </w:rPr>
        <w:t> </w:t>
      </w:r>
      <w:r>
        <w:rPr/>
        <w:t>pocillo</w:t>
      </w:r>
      <w:r>
        <w:rPr>
          <w:spacing w:val="-9"/>
        </w:rPr>
        <w:t> </w:t>
      </w:r>
      <w:r>
        <w:rPr/>
        <w:t>el</w:t>
      </w:r>
      <w:r>
        <w:rPr>
          <w:spacing w:val="-9"/>
        </w:rPr>
        <w:t> </w:t>
      </w:r>
      <w:r>
        <w:rPr/>
        <w:t>medio</w:t>
      </w:r>
      <w:r>
        <w:rPr>
          <w:spacing w:val="-13"/>
        </w:rPr>
        <w:t> </w:t>
      </w:r>
      <w:r>
        <w:rPr/>
        <w:t>DMEM</w:t>
      </w:r>
      <w:r>
        <w:rPr>
          <w:spacing w:val="-12"/>
        </w:rPr>
        <w:t> </w:t>
      </w:r>
      <w:r>
        <w:rPr/>
        <w:t>antiguo por uno completamente nuevo, según sea para cada línea celular. Luego se incubaron por 24hrs</w:t>
      </w:r>
      <w:r>
        <w:rPr>
          <w:spacing w:val="-17"/>
        </w:rPr>
        <w:t> </w:t>
      </w:r>
      <w:r>
        <w:rPr/>
        <w:t>más</w:t>
      </w:r>
      <w:r>
        <w:rPr>
          <w:spacing w:val="-16"/>
        </w:rPr>
        <w:t> </w:t>
      </w:r>
      <w:r>
        <w:rPr/>
        <w:t>hasta</w:t>
      </w:r>
      <w:r>
        <w:rPr>
          <w:spacing w:val="-15"/>
        </w:rPr>
        <w:t> </w:t>
      </w:r>
      <w:r>
        <w:rPr/>
        <w:t>cumplir</w:t>
      </w:r>
      <w:r>
        <w:rPr>
          <w:spacing w:val="-12"/>
        </w:rPr>
        <w:t> </w:t>
      </w:r>
      <w:r>
        <w:rPr/>
        <w:t>48</w:t>
      </w:r>
      <w:r>
        <w:rPr>
          <w:spacing w:val="-19"/>
        </w:rPr>
        <w:t> </w:t>
      </w:r>
      <w:r>
        <w:rPr/>
        <w:t>hrs</w:t>
      </w:r>
      <w:r>
        <w:rPr>
          <w:spacing w:val="-16"/>
        </w:rPr>
        <w:t> </w:t>
      </w:r>
      <w:r>
        <w:rPr/>
        <w:t>post</w:t>
      </w:r>
      <w:r>
        <w:rPr>
          <w:spacing w:val="-14"/>
        </w:rPr>
        <w:t> </w:t>
      </w:r>
      <w:r>
        <w:rPr/>
        <w:t>transfección.</w:t>
      </w:r>
      <w:r>
        <w:rPr>
          <w:spacing w:val="-11"/>
        </w:rPr>
        <w:t> </w:t>
      </w:r>
      <w:r>
        <w:rPr>
          <w:spacing w:val="-3"/>
        </w:rPr>
        <w:t>Al</w:t>
      </w:r>
      <w:r>
        <w:rPr>
          <w:spacing w:val="-14"/>
        </w:rPr>
        <w:t> </w:t>
      </w:r>
      <w:r>
        <w:rPr/>
        <w:t>cumplirse</w:t>
      </w:r>
      <w:r>
        <w:rPr>
          <w:spacing w:val="-14"/>
        </w:rPr>
        <w:t> </w:t>
      </w:r>
      <w:r>
        <w:rPr/>
        <w:t>este</w:t>
      </w:r>
      <w:r>
        <w:rPr>
          <w:spacing w:val="-15"/>
        </w:rPr>
        <w:t> </w:t>
      </w:r>
      <w:r>
        <w:rPr/>
        <w:t>periodo,</w:t>
      </w:r>
      <w:r>
        <w:rPr>
          <w:spacing w:val="-15"/>
        </w:rPr>
        <w:t> </w:t>
      </w:r>
      <w:r>
        <w:rPr/>
        <w:t>el</w:t>
      </w:r>
      <w:r>
        <w:rPr>
          <w:spacing w:val="-14"/>
        </w:rPr>
        <w:t> </w:t>
      </w:r>
      <w:r>
        <w:rPr/>
        <w:t>medio</w:t>
      </w:r>
      <w:r>
        <w:rPr>
          <w:spacing w:val="-18"/>
        </w:rPr>
        <w:t> </w:t>
      </w:r>
      <w:r>
        <w:rPr/>
        <w:t>DMEM fue</w:t>
      </w:r>
      <w:r>
        <w:rPr>
          <w:spacing w:val="-12"/>
        </w:rPr>
        <w:t> </w:t>
      </w:r>
      <w:r>
        <w:rPr/>
        <w:t>cambiado</w:t>
      </w:r>
      <w:r>
        <w:rPr>
          <w:spacing w:val="-11"/>
        </w:rPr>
        <w:t> </w:t>
      </w:r>
      <w:r>
        <w:rPr/>
        <w:t>por</w:t>
      </w:r>
      <w:r>
        <w:rPr>
          <w:spacing w:val="-8"/>
        </w:rPr>
        <w:t> </w:t>
      </w:r>
      <w:r>
        <w:rPr/>
        <w:t>uno</w:t>
      </w:r>
      <w:r>
        <w:rPr>
          <w:spacing w:val="-15"/>
        </w:rPr>
        <w:t> </w:t>
      </w:r>
      <w:r>
        <w:rPr/>
        <w:t>nuevo,</w:t>
      </w:r>
      <w:r>
        <w:rPr>
          <w:spacing w:val="-12"/>
        </w:rPr>
        <w:t> </w:t>
      </w:r>
      <w:r>
        <w:rPr/>
        <w:t>esta</w:t>
      </w:r>
      <w:r>
        <w:rPr>
          <w:spacing w:val="-11"/>
        </w:rPr>
        <w:t> </w:t>
      </w:r>
      <w:r>
        <w:rPr/>
        <w:t>vez</w:t>
      </w:r>
      <w:r>
        <w:rPr>
          <w:spacing w:val="-11"/>
        </w:rPr>
        <w:t> </w:t>
      </w:r>
      <w:r>
        <w:rPr/>
        <w:t>con</w:t>
      </w:r>
      <w:r>
        <w:rPr>
          <w:spacing w:val="-15"/>
        </w:rPr>
        <w:t> </w:t>
      </w:r>
      <w:r>
        <w:rPr/>
        <w:t>puromicina,</w:t>
      </w:r>
      <w:r>
        <w:rPr>
          <w:spacing w:val="-9"/>
        </w:rPr>
        <w:t> </w:t>
      </w:r>
      <w:r>
        <w:rPr/>
        <w:t>en</w:t>
      </w:r>
      <w:r>
        <w:rPr>
          <w:spacing w:val="-14"/>
        </w:rPr>
        <w:t> </w:t>
      </w:r>
      <w:r>
        <w:rPr/>
        <w:t>concentraciones</w:t>
      </w:r>
      <w:r>
        <w:rPr>
          <w:spacing w:val="-12"/>
        </w:rPr>
        <w:t> </w:t>
      </w:r>
      <w:r>
        <w:rPr/>
        <w:t>distintas</w:t>
      </w:r>
      <w:r>
        <w:rPr>
          <w:spacing w:val="-13"/>
        </w:rPr>
        <w:t> </w:t>
      </w:r>
      <w:r>
        <w:rPr/>
        <w:t>para</w:t>
      </w:r>
      <w:r>
        <w:rPr>
          <w:spacing w:val="-11"/>
        </w:rPr>
        <w:t> </w:t>
      </w:r>
      <w:r>
        <w:rPr/>
        <w:t>cada línea celular: 3g/µl para la línea 3T3 y 4g/µl para las líneas GC-1 y GC-2. Dentro de las placas</w:t>
      </w:r>
      <w:r>
        <w:rPr>
          <w:spacing w:val="-12"/>
        </w:rPr>
        <w:t> </w:t>
      </w:r>
      <w:r>
        <w:rPr/>
        <w:t>de</w:t>
      </w:r>
      <w:r>
        <w:rPr>
          <w:spacing w:val="-11"/>
        </w:rPr>
        <w:t> </w:t>
      </w:r>
      <w:r>
        <w:rPr/>
        <w:t>6</w:t>
      </w:r>
      <w:r>
        <w:rPr>
          <w:spacing w:val="-14"/>
        </w:rPr>
        <w:t> </w:t>
      </w:r>
      <w:r>
        <w:rPr/>
        <w:t>pocillos</w:t>
      </w:r>
      <w:r>
        <w:rPr>
          <w:spacing w:val="-11"/>
        </w:rPr>
        <w:t> </w:t>
      </w:r>
      <w:r>
        <w:rPr/>
        <w:t>uno</w:t>
      </w:r>
      <w:r>
        <w:rPr>
          <w:spacing w:val="-13"/>
        </w:rPr>
        <w:t> </w:t>
      </w:r>
      <w:r>
        <w:rPr/>
        <w:t>de</w:t>
      </w:r>
      <w:r>
        <w:rPr>
          <w:spacing w:val="-15"/>
        </w:rPr>
        <w:t> </w:t>
      </w:r>
      <w:r>
        <w:rPr/>
        <w:t>los</w:t>
      </w:r>
      <w:r>
        <w:rPr>
          <w:spacing w:val="-11"/>
        </w:rPr>
        <w:t> </w:t>
      </w:r>
      <w:r>
        <w:rPr/>
        <w:t>pocillos</w:t>
      </w:r>
      <w:r>
        <w:rPr>
          <w:spacing w:val="-9"/>
        </w:rPr>
        <w:t> </w:t>
      </w:r>
      <w:r>
        <w:rPr/>
        <w:t>fue</w:t>
      </w:r>
      <w:r>
        <w:rPr>
          <w:spacing w:val="-15"/>
        </w:rPr>
        <w:t> </w:t>
      </w:r>
      <w:r>
        <w:rPr/>
        <w:t>sembrado</w:t>
      </w:r>
      <w:r>
        <w:rPr>
          <w:spacing w:val="-9"/>
        </w:rPr>
        <w:t> </w:t>
      </w:r>
      <w:r>
        <w:rPr/>
        <w:t>con</w:t>
      </w:r>
      <w:r>
        <w:rPr>
          <w:spacing w:val="-14"/>
        </w:rPr>
        <w:t> </w:t>
      </w:r>
      <w:r>
        <w:rPr/>
        <w:t>células</w:t>
      </w:r>
      <w:r>
        <w:rPr>
          <w:spacing w:val="-12"/>
        </w:rPr>
        <w:t> </w:t>
      </w:r>
      <w:r>
        <w:rPr/>
        <w:t>que</w:t>
      </w:r>
      <w:r>
        <w:rPr>
          <w:spacing w:val="-11"/>
        </w:rPr>
        <w:t> </w:t>
      </w:r>
      <w:r>
        <w:rPr/>
        <w:t>no</w:t>
      </w:r>
      <w:r>
        <w:rPr>
          <w:spacing w:val="-18"/>
        </w:rPr>
        <w:t> </w:t>
      </w:r>
      <w:r>
        <w:rPr/>
        <w:t>fueron</w:t>
      </w:r>
      <w:r>
        <w:rPr>
          <w:spacing w:val="-14"/>
        </w:rPr>
        <w:t> </w:t>
      </w:r>
      <w:r>
        <w:rPr/>
        <w:t>transfectadas, las cuales sirvieron como control interno para la selección mediante antibiótico. Una vez éstas murieron, las células transfectadas estaban listas para llevar a cabo la selección por dilución límite de clones</w:t>
      </w:r>
      <w:r>
        <w:rPr>
          <w:spacing w:val="-1"/>
        </w:rPr>
        <w:t> </w:t>
      </w:r>
      <w:r>
        <w:rPr/>
        <w:t>editados.</w:t>
      </w:r>
    </w:p>
    <w:p>
      <w:pPr>
        <w:spacing w:after="0" w:line="360" w:lineRule="auto"/>
        <w:jc w:val="both"/>
        <w:sectPr>
          <w:pgSz w:w="12240" w:h="15840"/>
          <w:pgMar w:header="7" w:footer="0" w:top="1040" w:bottom="280" w:left="1580" w:right="360"/>
        </w:sectPr>
      </w:pPr>
    </w:p>
    <w:p>
      <w:pPr>
        <w:pStyle w:val="BodyText"/>
        <w:rPr>
          <w:sz w:val="20"/>
        </w:rPr>
      </w:pPr>
    </w:p>
    <w:p>
      <w:pPr>
        <w:pStyle w:val="BodyText"/>
        <w:spacing w:before="10"/>
        <w:rPr>
          <w:sz w:val="22"/>
        </w:rPr>
      </w:pPr>
    </w:p>
    <w:p>
      <w:pPr>
        <w:pStyle w:val="ListParagraph"/>
        <w:numPr>
          <w:ilvl w:val="3"/>
          <w:numId w:val="5"/>
        </w:numPr>
        <w:tabs>
          <w:tab w:pos="845" w:val="left" w:leader="none"/>
        </w:tabs>
        <w:spacing w:line="240" w:lineRule="auto" w:before="0" w:after="0"/>
        <w:ind w:left="845" w:right="0" w:hanging="726"/>
        <w:jc w:val="left"/>
        <w:rPr>
          <w:b/>
          <w:sz w:val="24"/>
        </w:rPr>
      </w:pPr>
      <w:bookmarkStart w:name="_TOC_250010" w:id="20"/>
      <w:r>
        <w:rPr>
          <w:b/>
          <w:sz w:val="24"/>
        </w:rPr>
        <w:t>Selección a través de dilución límite de las colonias</w:t>
      </w:r>
      <w:r>
        <w:rPr>
          <w:b/>
          <w:spacing w:val="-12"/>
          <w:sz w:val="24"/>
        </w:rPr>
        <w:t> </w:t>
      </w:r>
      <w:bookmarkEnd w:id="20"/>
      <w:r>
        <w:rPr>
          <w:b/>
          <w:sz w:val="24"/>
        </w:rPr>
        <w:t>editadas</w:t>
      </w:r>
    </w:p>
    <w:p>
      <w:pPr>
        <w:pStyle w:val="BodyText"/>
        <w:rPr>
          <w:b/>
          <w:sz w:val="26"/>
        </w:rPr>
      </w:pPr>
    </w:p>
    <w:p>
      <w:pPr>
        <w:pStyle w:val="BodyText"/>
        <w:spacing w:before="3"/>
        <w:rPr>
          <w:b/>
          <w:sz w:val="22"/>
        </w:rPr>
      </w:pPr>
    </w:p>
    <w:p>
      <w:pPr>
        <w:pStyle w:val="BodyText"/>
        <w:spacing w:line="360" w:lineRule="auto"/>
        <w:ind w:left="119" w:right="1351" w:firstLine="302"/>
      </w:pPr>
      <w:r>
        <w:rPr/>
        <w:t>Con el fin de aislar una población celular monoclonal que contenga la edición genética, las células se dejaron crecer hasta una confluencia del 50-60% y se les cambió el medio DMEM por uno nuevo. El medio DMEM condicionado que se extrajo fue filtrado y almacenado para su posterior uso. Las células posteriormente fueron diluidas según el protocolo de addgene, con el fin de que quedaran </w:t>
      </w:r>
      <w:r>
        <w:rPr>
          <w:spacing w:val="-3"/>
        </w:rPr>
        <w:t>en </w:t>
      </w:r>
      <w:r>
        <w:rPr/>
        <w:t>una concentración aproximada de 5 células por 1 ml de medio, en un total de 10 ml (50 células) para ser sembradas en placas de 96 pocillos. El medio total que contenía las células fue preparado en una proporción de 3 ml de medio condicionado por 7 ml de medio nuevo. Las células fueron observadas 7 y 14 días después bajo el microscopio óptico. Los pocillos en donde creció más de una colonia fueron desechados, solo se seleccionaron las colonias que se generaron a partir de una sola célula.</w:t>
      </w:r>
    </w:p>
    <w:p>
      <w:pPr>
        <w:pStyle w:val="BodyText"/>
        <w:spacing w:before="2"/>
        <w:rPr>
          <w:sz w:val="36"/>
        </w:rPr>
      </w:pPr>
    </w:p>
    <w:p>
      <w:pPr>
        <w:spacing w:before="0"/>
        <w:ind w:left="119" w:right="0" w:firstLine="0"/>
        <w:jc w:val="left"/>
        <w:rPr>
          <w:i/>
          <w:sz w:val="24"/>
        </w:rPr>
      </w:pPr>
      <w:r>
        <w:rPr>
          <w:i/>
          <w:sz w:val="24"/>
        </w:rPr>
        <w:t>OE3: Comprobar la edición genómica mediante PCR convencional.</w:t>
      </w:r>
    </w:p>
    <w:p>
      <w:pPr>
        <w:pStyle w:val="BodyText"/>
        <w:rPr>
          <w:i/>
          <w:sz w:val="26"/>
        </w:rPr>
      </w:pPr>
    </w:p>
    <w:p>
      <w:pPr>
        <w:pStyle w:val="BodyText"/>
        <w:spacing w:before="9"/>
        <w:rPr>
          <w:i/>
          <w:sz w:val="21"/>
        </w:rPr>
      </w:pPr>
    </w:p>
    <w:p>
      <w:pPr>
        <w:pStyle w:val="ListParagraph"/>
        <w:numPr>
          <w:ilvl w:val="2"/>
          <w:numId w:val="5"/>
        </w:numPr>
        <w:tabs>
          <w:tab w:pos="662" w:val="left" w:leader="none"/>
        </w:tabs>
        <w:spacing w:line="240" w:lineRule="auto" w:before="0" w:after="0"/>
        <w:ind w:left="661" w:right="0" w:hanging="543"/>
        <w:jc w:val="left"/>
        <w:rPr>
          <w:b/>
          <w:sz w:val="24"/>
        </w:rPr>
      </w:pPr>
      <w:bookmarkStart w:name="_TOC_250009" w:id="21"/>
      <w:r>
        <w:rPr>
          <w:b/>
          <w:sz w:val="24"/>
        </w:rPr>
        <w:t>Análisis de colonias para comprobar deleción</w:t>
      </w:r>
      <w:r>
        <w:rPr>
          <w:b/>
          <w:spacing w:val="-4"/>
          <w:sz w:val="24"/>
        </w:rPr>
        <w:t> </w:t>
      </w:r>
      <w:bookmarkEnd w:id="21"/>
      <w:r>
        <w:rPr>
          <w:b/>
          <w:sz w:val="24"/>
        </w:rPr>
        <w:t>genómica:</w:t>
      </w:r>
    </w:p>
    <w:p>
      <w:pPr>
        <w:pStyle w:val="BodyText"/>
        <w:rPr>
          <w:b/>
          <w:sz w:val="26"/>
        </w:rPr>
      </w:pPr>
    </w:p>
    <w:p>
      <w:pPr>
        <w:pStyle w:val="BodyText"/>
        <w:spacing w:before="3"/>
        <w:rPr>
          <w:b/>
          <w:sz w:val="22"/>
        </w:rPr>
      </w:pPr>
    </w:p>
    <w:p>
      <w:pPr>
        <w:pStyle w:val="BodyText"/>
        <w:spacing w:line="360" w:lineRule="auto"/>
        <w:ind w:left="119" w:right="1335" w:firstLine="302"/>
        <w:jc w:val="both"/>
      </w:pPr>
      <w:r>
        <w:rPr/>
        <w:t>Con el fin de determinar si la deleción genómica había ocurrido de manera exitosa, se desarrollaron una pareja de primers (Tablas 4.8; 4.9; 4.10.) que flanquean la zona de corte para cada uno de los pseudogenes. Mediante PCR y usando los primers mencionados se amplificó</w:t>
      </w:r>
      <w:r>
        <w:rPr>
          <w:spacing w:val="-16"/>
        </w:rPr>
        <w:t> </w:t>
      </w:r>
      <w:r>
        <w:rPr/>
        <w:t>la</w:t>
      </w:r>
      <w:r>
        <w:rPr>
          <w:spacing w:val="-16"/>
        </w:rPr>
        <w:t> </w:t>
      </w:r>
      <w:r>
        <w:rPr/>
        <w:t>zona</w:t>
      </w:r>
      <w:r>
        <w:rPr>
          <w:spacing w:val="-16"/>
        </w:rPr>
        <w:t> </w:t>
      </w:r>
      <w:r>
        <w:rPr/>
        <w:t>editada,</w:t>
      </w:r>
      <w:r>
        <w:rPr>
          <w:spacing w:val="-13"/>
        </w:rPr>
        <w:t> </w:t>
      </w:r>
      <w:r>
        <w:rPr/>
        <w:t>y</w:t>
      </w:r>
      <w:r>
        <w:rPr>
          <w:spacing w:val="-20"/>
        </w:rPr>
        <w:t> </w:t>
      </w:r>
      <w:r>
        <w:rPr/>
        <w:t>posteriormente</w:t>
      </w:r>
      <w:r>
        <w:rPr>
          <w:spacing w:val="-16"/>
        </w:rPr>
        <w:t> </w:t>
      </w:r>
      <w:r>
        <w:rPr/>
        <w:t>se</w:t>
      </w:r>
      <w:r>
        <w:rPr>
          <w:spacing w:val="-16"/>
        </w:rPr>
        <w:t> </w:t>
      </w:r>
      <w:r>
        <w:rPr/>
        <w:t>evidenció</w:t>
      </w:r>
      <w:r>
        <w:rPr>
          <w:spacing w:val="-14"/>
        </w:rPr>
        <w:t> </w:t>
      </w:r>
      <w:r>
        <w:rPr/>
        <w:t>por</w:t>
      </w:r>
      <w:r>
        <w:rPr>
          <w:spacing w:val="-14"/>
        </w:rPr>
        <w:t> </w:t>
      </w:r>
      <w:r>
        <w:rPr/>
        <w:t>electroforesis</w:t>
      </w:r>
      <w:r>
        <w:rPr>
          <w:spacing w:val="-17"/>
        </w:rPr>
        <w:t> </w:t>
      </w:r>
      <w:r>
        <w:rPr/>
        <w:t>en</w:t>
      </w:r>
      <w:r>
        <w:rPr>
          <w:spacing w:val="-15"/>
        </w:rPr>
        <w:t> </w:t>
      </w:r>
      <w:r>
        <w:rPr/>
        <w:t>gel,</w:t>
      </w:r>
      <w:r>
        <w:rPr>
          <w:spacing w:val="-17"/>
        </w:rPr>
        <w:t> </w:t>
      </w:r>
      <w:r>
        <w:rPr/>
        <w:t>observando el producto</w:t>
      </w:r>
      <w:r>
        <w:rPr>
          <w:spacing w:val="3"/>
        </w:rPr>
        <w:t> </w:t>
      </w:r>
      <w:r>
        <w:rPr/>
        <w:t>PCR.</w:t>
      </w:r>
    </w:p>
    <w:p>
      <w:pPr>
        <w:spacing w:after="0" w:line="360" w:lineRule="auto"/>
        <w:jc w:val="both"/>
        <w:sectPr>
          <w:pgSz w:w="12240" w:h="15840"/>
          <w:pgMar w:header="7" w:footer="0" w:top="1040" w:bottom="280" w:left="1580" w:right="360"/>
        </w:sectPr>
      </w:pPr>
    </w:p>
    <w:p>
      <w:pPr>
        <w:spacing w:before="76"/>
        <w:ind w:left="119" w:right="0" w:firstLine="0"/>
        <w:jc w:val="left"/>
        <w:rPr>
          <w:b/>
          <w:sz w:val="28"/>
        </w:rPr>
      </w:pPr>
      <w:bookmarkStart w:name="_TOC_250008" w:id="22"/>
      <w:bookmarkEnd w:id="22"/>
      <w:r>
        <w:rPr>
          <w:b/>
          <w:sz w:val="28"/>
        </w:rPr>
        <w:t>3.2.-Materiales:</w:t>
      </w:r>
    </w:p>
    <w:p>
      <w:pPr>
        <w:pStyle w:val="BodyText"/>
        <w:spacing w:before="167"/>
        <w:ind w:left="119"/>
      </w:pPr>
      <w:r>
        <w:rPr/>
        <w:t>-DMEM High</w:t>
      </w:r>
      <w:r>
        <w:rPr>
          <w:spacing w:val="-9"/>
        </w:rPr>
        <w:t> </w:t>
      </w:r>
      <w:r>
        <w:rPr/>
        <w:t>Glucose</w:t>
      </w:r>
    </w:p>
    <w:p>
      <w:pPr>
        <w:pStyle w:val="BodyText"/>
        <w:spacing w:before="137"/>
        <w:ind w:left="119"/>
      </w:pPr>
      <w:r>
        <w:rPr/>
        <w:t>-DMEM Low</w:t>
      </w:r>
      <w:r>
        <w:rPr>
          <w:spacing w:val="-8"/>
        </w:rPr>
        <w:t> </w:t>
      </w:r>
      <w:r>
        <w:rPr/>
        <w:t>Glucose</w:t>
      </w:r>
    </w:p>
    <w:p>
      <w:pPr>
        <w:pStyle w:val="BodyText"/>
        <w:spacing w:before="136"/>
        <w:ind w:left="119"/>
      </w:pPr>
      <w:r>
        <w:rPr>
          <w:position w:val="2"/>
        </w:rPr>
        <w:t>-H</w:t>
      </w:r>
      <w:r>
        <w:rPr>
          <w:sz w:val="16"/>
        </w:rPr>
        <w:t>2</w:t>
      </w:r>
      <w:r>
        <w:rPr>
          <w:position w:val="2"/>
        </w:rPr>
        <w:t>O-DEPC estéril</w:t>
      </w:r>
    </w:p>
    <w:p>
      <w:pPr>
        <w:pStyle w:val="BodyText"/>
        <w:spacing w:before="140"/>
        <w:ind w:left="119"/>
      </w:pPr>
      <w:r>
        <w:rPr/>
        <w:t>-Random Primers</w:t>
      </w:r>
    </w:p>
    <w:p>
      <w:pPr>
        <w:pStyle w:val="BodyText"/>
        <w:spacing w:before="137"/>
        <w:ind w:left="119"/>
      </w:pPr>
      <w:r>
        <w:rPr/>
        <w:t>-dNTPs</w:t>
      </w:r>
    </w:p>
    <w:p>
      <w:pPr>
        <w:pStyle w:val="BodyText"/>
        <w:spacing w:before="137"/>
        <w:ind w:left="119"/>
      </w:pPr>
      <w:r>
        <w:rPr/>
        <w:t>-Plásmido eSpCas9(1.1)-T2A</w:t>
      </w:r>
    </w:p>
    <w:p>
      <w:pPr>
        <w:pStyle w:val="BodyText"/>
        <w:spacing w:before="122"/>
        <w:ind w:left="119"/>
      </w:pPr>
      <w:r>
        <w:rPr/>
        <w:t>-The PureYield </w:t>
      </w:r>
      <w:r>
        <w:rPr>
          <w:position w:val="9"/>
          <w:sz w:val="16"/>
        </w:rPr>
        <w:t>TM </w:t>
      </w:r>
      <w:r>
        <w:rPr/>
        <w:t>Plasmid Miniprep System</w:t>
      </w:r>
    </w:p>
    <w:p>
      <w:pPr>
        <w:pStyle w:val="BodyText"/>
        <w:spacing w:before="141"/>
        <w:ind w:left="119"/>
      </w:pPr>
      <w:r>
        <w:rPr/>
        <w:t>-Turbofect Transfection Reagent</w:t>
      </w:r>
    </w:p>
    <w:p>
      <w:pPr>
        <w:pStyle w:val="BodyText"/>
        <w:spacing w:before="137"/>
        <w:ind w:left="119"/>
      </w:pPr>
      <w:r>
        <w:rPr/>
        <w:t>-Lipofectamine 3000 reagent.</w:t>
      </w:r>
    </w:p>
    <w:p>
      <w:pPr>
        <w:pStyle w:val="BodyText"/>
        <w:spacing w:before="137"/>
        <w:ind w:left="119"/>
      </w:pPr>
      <w:r>
        <w:rPr/>
        <w:t>-GeneArt® Genomic Cleavage Detection Kit</w:t>
      </w:r>
    </w:p>
    <w:p>
      <w:pPr>
        <w:pStyle w:val="BodyText"/>
        <w:spacing w:before="137"/>
        <w:ind w:left="119"/>
      </w:pPr>
      <w:r>
        <w:rPr/>
        <w:t>- Termociclador</w:t>
      </w:r>
    </w:p>
    <w:p>
      <w:pPr>
        <w:pStyle w:val="BodyText"/>
        <w:spacing w:before="142"/>
        <w:ind w:left="119"/>
      </w:pPr>
      <w:r>
        <w:rPr/>
        <w:t>-Sondas de hidrólisis</w:t>
      </w:r>
    </w:p>
    <w:p>
      <w:pPr>
        <w:pStyle w:val="BodyText"/>
        <w:spacing w:before="137"/>
        <w:ind w:left="119"/>
      </w:pPr>
      <w:r>
        <w:rPr/>
        <w:t>-Incubadora de CO2</w:t>
      </w:r>
    </w:p>
    <w:p>
      <w:pPr>
        <w:pStyle w:val="BodyText"/>
        <w:spacing w:line="360" w:lineRule="auto" w:before="137"/>
        <w:ind w:left="119" w:right="1603"/>
      </w:pPr>
      <w:r>
        <w:rPr/>
        <w:t>-Líneas celulares GC-1spg (ATCC ® CRL-2053™), GC-2spd (ATCC ® CRL-2196™) y NIH-3T3 (ATCC ® CRL-1658™).</w:t>
      </w:r>
    </w:p>
    <w:p>
      <w:pPr>
        <w:pStyle w:val="BodyText"/>
        <w:spacing w:before="3"/>
        <w:ind w:left="119"/>
      </w:pPr>
      <w:r>
        <w:rPr/>
        <w:t>-Campana de flujo laminar</w:t>
      </w:r>
    </w:p>
    <w:p>
      <w:pPr>
        <w:pStyle w:val="BodyText"/>
        <w:spacing w:before="136"/>
        <w:ind w:left="119"/>
      </w:pPr>
      <w:r>
        <w:rPr/>
        <w:t>-Suero Bovino Fetal</w:t>
      </w:r>
    </w:p>
    <w:p>
      <w:pPr>
        <w:pStyle w:val="BodyText"/>
        <w:spacing w:before="137"/>
        <w:ind w:left="119"/>
      </w:pPr>
      <w:r>
        <w:rPr/>
        <w:t>-Micropipetas</w:t>
      </w:r>
    </w:p>
    <w:p>
      <w:pPr>
        <w:pStyle w:val="BodyText"/>
        <w:spacing w:before="137"/>
        <w:ind w:left="119"/>
      </w:pPr>
      <w:r>
        <w:rPr/>
        <w:t>-Plásmido con secuencia promotora</w:t>
      </w:r>
    </w:p>
    <w:p>
      <w:pPr>
        <w:pStyle w:val="BodyText"/>
        <w:spacing w:before="137"/>
        <w:ind w:left="119"/>
      </w:pPr>
      <w:r>
        <w:rPr/>
        <w:t>- Agarosa</w:t>
      </w:r>
    </w:p>
    <w:p>
      <w:pPr>
        <w:pStyle w:val="BodyText"/>
        <w:spacing w:before="142"/>
        <w:ind w:left="119"/>
      </w:pPr>
      <w:r>
        <w:rPr/>
        <w:t>-Cámara de</w:t>
      </w:r>
      <w:r>
        <w:rPr>
          <w:spacing w:val="-10"/>
        </w:rPr>
        <w:t> </w:t>
      </w:r>
      <w:r>
        <w:rPr/>
        <w:t>electroforesis</w:t>
      </w:r>
    </w:p>
    <w:p>
      <w:pPr>
        <w:pStyle w:val="BodyText"/>
        <w:spacing w:before="137"/>
        <w:ind w:left="119"/>
      </w:pPr>
      <w:r>
        <w:rPr/>
        <w:t>-Colonia E.coli</w:t>
      </w:r>
      <w:r>
        <w:rPr>
          <w:spacing w:val="-8"/>
        </w:rPr>
        <w:t> </w:t>
      </w:r>
      <w:r>
        <w:rPr/>
        <w:t>XL1-blue</w:t>
      </w:r>
    </w:p>
    <w:p>
      <w:pPr>
        <w:pStyle w:val="BodyText"/>
        <w:spacing w:before="137"/>
        <w:ind w:left="119"/>
      </w:pPr>
      <w:r>
        <w:rPr/>
        <w:t>-Vortex</w:t>
      </w:r>
    </w:p>
    <w:p>
      <w:pPr>
        <w:pStyle w:val="BodyText"/>
        <w:spacing w:before="137"/>
        <w:ind w:left="119"/>
      </w:pPr>
      <w:r>
        <w:rPr/>
        <w:t>-Baño termorregulado</w:t>
      </w:r>
    </w:p>
    <w:p>
      <w:pPr>
        <w:pStyle w:val="BodyText"/>
        <w:spacing w:before="142"/>
        <w:ind w:left="119"/>
      </w:pPr>
      <w:r>
        <w:rPr/>
        <w:t>-Agitador magnético</w:t>
      </w:r>
    </w:p>
    <w:p>
      <w:pPr>
        <w:pStyle w:val="BodyText"/>
        <w:spacing w:before="136"/>
        <w:ind w:left="119"/>
      </w:pPr>
      <w:r>
        <w:rPr>
          <w:b/>
        </w:rPr>
        <w:t>-</w:t>
      </w:r>
      <w:r>
        <w:rPr/>
        <w:t>SapphireAmp® Fast PCR Master Mix</w:t>
      </w:r>
    </w:p>
    <w:p>
      <w:pPr>
        <w:pStyle w:val="ListParagraph"/>
        <w:numPr>
          <w:ilvl w:val="0"/>
          <w:numId w:val="6"/>
        </w:numPr>
        <w:tabs>
          <w:tab w:pos="259" w:val="left" w:leader="none"/>
        </w:tabs>
        <w:spacing w:line="240" w:lineRule="auto" w:before="138" w:after="0"/>
        <w:ind w:left="258" w:right="0" w:hanging="140"/>
        <w:jc w:val="left"/>
        <w:rPr>
          <w:sz w:val="24"/>
        </w:rPr>
      </w:pPr>
      <w:r>
        <w:rPr>
          <w:sz w:val="24"/>
        </w:rPr>
        <w:t>E.Z.N.A.® Tissue DNA</w:t>
      </w:r>
      <w:r>
        <w:rPr>
          <w:spacing w:val="-2"/>
          <w:sz w:val="24"/>
        </w:rPr>
        <w:t> </w:t>
      </w:r>
      <w:r>
        <w:rPr>
          <w:sz w:val="24"/>
        </w:rPr>
        <w:t>Kit</w:t>
      </w:r>
    </w:p>
    <w:p>
      <w:pPr>
        <w:pStyle w:val="ListParagraph"/>
        <w:numPr>
          <w:ilvl w:val="0"/>
          <w:numId w:val="6"/>
        </w:numPr>
        <w:tabs>
          <w:tab w:pos="259" w:val="left" w:leader="none"/>
        </w:tabs>
        <w:spacing w:line="240" w:lineRule="auto" w:before="136" w:after="0"/>
        <w:ind w:left="258" w:right="0" w:hanging="140"/>
        <w:jc w:val="left"/>
        <w:rPr>
          <w:sz w:val="24"/>
        </w:rPr>
      </w:pPr>
      <w:r>
        <w:rPr>
          <w:sz w:val="24"/>
        </w:rPr>
        <w:t>T100 Thermal Cylcer</w:t>
      </w:r>
      <w:r>
        <w:rPr>
          <w:spacing w:val="6"/>
          <w:sz w:val="24"/>
        </w:rPr>
        <w:t> </w:t>
      </w:r>
      <w:r>
        <w:rPr>
          <w:sz w:val="24"/>
        </w:rPr>
        <w:t>Bio-Rad</w:t>
      </w:r>
    </w:p>
    <w:p>
      <w:pPr>
        <w:pStyle w:val="ListParagraph"/>
        <w:numPr>
          <w:ilvl w:val="0"/>
          <w:numId w:val="6"/>
        </w:numPr>
        <w:tabs>
          <w:tab w:pos="259" w:val="left" w:leader="none"/>
        </w:tabs>
        <w:spacing w:line="240" w:lineRule="auto" w:before="142" w:after="0"/>
        <w:ind w:left="258" w:right="0" w:hanging="140"/>
        <w:jc w:val="left"/>
        <w:rPr>
          <w:sz w:val="24"/>
        </w:rPr>
      </w:pPr>
      <w:r>
        <w:rPr>
          <w:sz w:val="24"/>
        </w:rPr>
        <w:t>DNA ladder 100pb (NEB)</w:t>
      </w:r>
    </w:p>
    <w:p>
      <w:pPr>
        <w:spacing w:after="0" w:line="240" w:lineRule="auto"/>
        <w:jc w:val="left"/>
        <w:rPr>
          <w:sz w:val="24"/>
        </w:rPr>
        <w:sectPr>
          <w:pgSz w:w="12240" w:h="15840"/>
          <w:pgMar w:header="7" w:footer="0" w:top="1040" w:bottom="280" w:left="1580" w:right="360"/>
        </w:sectPr>
      </w:pPr>
    </w:p>
    <w:p>
      <w:pPr>
        <w:pStyle w:val="Heading1"/>
        <w:jc w:val="both"/>
      </w:pPr>
      <w:bookmarkStart w:name="_TOC_250007" w:id="23"/>
      <w:bookmarkEnd w:id="23"/>
      <w:r>
        <w:rPr/>
        <w:t>4.- Resultados:</w:t>
      </w:r>
    </w:p>
    <w:p>
      <w:pPr>
        <w:pStyle w:val="BodyText"/>
        <w:rPr>
          <w:b/>
          <w:sz w:val="36"/>
        </w:rPr>
      </w:pPr>
    </w:p>
    <w:p>
      <w:pPr>
        <w:spacing w:before="253"/>
        <w:ind w:left="119" w:right="0" w:firstLine="0"/>
        <w:jc w:val="both"/>
        <w:rPr>
          <w:i/>
          <w:sz w:val="24"/>
        </w:rPr>
      </w:pPr>
      <w:r>
        <w:rPr>
          <w:i/>
          <w:sz w:val="24"/>
        </w:rPr>
        <w:t>OE1: Diseñar una pareja de gRNA por cada pseudogen a editar.</w:t>
      </w:r>
    </w:p>
    <w:p>
      <w:pPr>
        <w:pStyle w:val="BodyText"/>
        <w:rPr>
          <w:i/>
          <w:sz w:val="26"/>
        </w:rPr>
      </w:pPr>
    </w:p>
    <w:p>
      <w:pPr>
        <w:pStyle w:val="Heading2"/>
        <w:numPr>
          <w:ilvl w:val="1"/>
          <w:numId w:val="7"/>
        </w:numPr>
        <w:tabs>
          <w:tab w:pos="484" w:val="left" w:leader="none"/>
        </w:tabs>
        <w:spacing w:line="240" w:lineRule="auto" w:before="218" w:after="0"/>
        <w:ind w:left="484" w:right="0" w:hanging="365"/>
        <w:jc w:val="left"/>
      </w:pPr>
      <w:bookmarkStart w:name="_TOC_250006" w:id="24"/>
      <w:r>
        <w:rPr/>
        <w:t>Desarrollo </w:t>
      </w:r>
      <w:r>
        <w:rPr>
          <w:i/>
        </w:rPr>
        <w:t>in silico </w:t>
      </w:r>
      <w:r>
        <w:rPr/>
        <w:t>de la secuencia del RNA</w:t>
      </w:r>
      <w:r>
        <w:rPr>
          <w:spacing w:val="1"/>
        </w:rPr>
        <w:t> </w:t>
      </w:r>
      <w:bookmarkEnd w:id="24"/>
      <w:r>
        <w:rPr/>
        <w:t>guía:</w:t>
      </w:r>
    </w:p>
    <w:p>
      <w:pPr>
        <w:pStyle w:val="BodyText"/>
        <w:rPr>
          <w:b/>
          <w:sz w:val="26"/>
        </w:rPr>
      </w:pPr>
    </w:p>
    <w:p>
      <w:pPr>
        <w:pStyle w:val="BodyText"/>
        <w:spacing w:before="2"/>
        <w:rPr>
          <w:b/>
          <w:sz w:val="22"/>
        </w:rPr>
      </w:pPr>
    </w:p>
    <w:p>
      <w:pPr>
        <w:pStyle w:val="BodyText"/>
        <w:spacing w:line="360" w:lineRule="auto"/>
        <w:ind w:left="119" w:right="1333" w:firstLine="302"/>
        <w:jc w:val="both"/>
      </w:pPr>
      <w:r>
        <w:rPr/>
        <w:t>Con</w:t>
      </w:r>
      <w:r>
        <w:rPr>
          <w:spacing w:val="-1"/>
        </w:rPr>
        <w:t> </w:t>
      </w:r>
      <w:r>
        <w:rPr/>
        <w:t>el</w:t>
      </w:r>
      <w:r>
        <w:rPr>
          <w:spacing w:val="-5"/>
        </w:rPr>
        <w:t> </w:t>
      </w:r>
      <w:r>
        <w:rPr/>
        <w:t>fin</w:t>
      </w:r>
      <w:r>
        <w:rPr>
          <w:spacing w:val="-5"/>
        </w:rPr>
        <w:t> </w:t>
      </w:r>
      <w:r>
        <w:rPr/>
        <w:t>de</w:t>
      </w:r>
      <w:r>
        <w:rPr>
          <w:spacing w:val="-6"/>
        </w:rPr>
        <w:t> </w:t>
      </w:r>
      <w:r>
        <w:rPr/>
        <w:t>eliminar</w:t>
      </w:r>
      <w:r>
        <w:rPr>
          <w:spacing w:val="-3"/>
        </w:rPr>
        <w:t> </w:t>
      </w:r>
      <w:r>
        <w:rPr/>
        <w:t>los</w:t>
      </w:r>
      <w:r>
        <w:rPr>
          <w:spacing w:val="-7"/>
        </w:rPr>
        <w:t> </w:t>
      </w:r>
      <w:r>
        <w:rPr/>
        <w:t>promotores</w:t>
      </w:r>
      <w:r>
        <w:rPr>
          <w:spacing w:val="-2"/>
        </w:rPr>
        <w:t> </w:t>
      </w:r>
      <w:r>
        <w:rPr/>
        <w:t>de</w:t>
      </w:r>
      <w:r>
        <w:rPr>
          <w:spacing w:val="-6"/>
        </w:rPr>
        <w:t> </w:t>
      </w:r>
      <w:r>
        <w:rPr/>
        <w:t>las</w:t>
      </w:r>
      <w:r>
        <w:rPr>
          <w:spacing w:val="-3"/>
        </w:rPr>
        <w:t> </w:t>
      </w:r>
      <w:r>
        <w:rPr/>
        <w:t>secuencias</w:t>
      </w:r>
      <w:r>
        <w:rPr>
          <w:spacing w:val="-3"/>
        </w:rPr>
        <w:t> </w:t>
      </w:r>
      <w:r>
        <w:rPr/>
        <w:t>de</w:t>
      </w:r>
      <w:r>
        <w:rPr>
          <w:spacing w:val="-1"/>
        </w:rPr>
        <w:t> </w:t>
      </w:r>
      <w:r>
        <w:rPr/>
        <w:t>los</w:t>
      </w:r>
      <w:r>
        <w:rPr>
          <w:spacing w:val="-2"/>
        </w:rPr>
        <w:t> </w:t>
      </w:r>
      <w:r>
        <w:rPr/>
        <w:t>tres</w:t>
      </w:r>
      <w:r>
        <w:rPr>
          <w:spacing w:val="-2"/>
        </w:rPr>
        <w:t> </w:t>
      </w:r>
      <w:r>
        <w:rPr/>
        <w:t>pseudogenes</w:t>
      </w:r>
      <w:r>
        <w:rPr>
          <w:spacing w:val="-3"/>
        </w:rPr>
        <w:t> </w:t>
      </w:r>
      <w:r>
        <w:rPr/>
        <w:t>se</w:t>
      </w:r>
      <w:r>
        <w:rPr>
          <w:spacing w:val="-1"/>
        </w:rPr>
        <w:t> </w:t>
      </w:r>
      <w:r>
        <w:rPr/>
        <w:t>diseñó una pareja de RNAs guías para cada promotor de pseudogen, esto con el fin de flanquear la zona de la secuencia en que se encuentra la caja TATA y cortarla por completo. Como se muestra en la figura</w:t>
      </w:r>
      <w:r>
        <w:rPr>
          <w:spacing w:val="4"/>
        </w:rPr>
        <w:t> </w:t>
      </w:r>
      <w:r>
        <w:rPr/>
        <w:t>4.1.</w:t>
      </w:r>
    </w:p>
    <w:p>
      <w:pPr>
        <w:pStyle w:val="BodyText"/>
        <w:spacing w:before="7"/>
        <w:rPr>
          <w:sz w:val="19"/>
        </w:rPr>
      </w:pPr>
      <w:r>
        <w:rPr/>
        <w:drawing>
          <wp:anchor distT="0" distB="0" distL="0" distR="0" allowOverlap="1" layoutInCell="1" locked="0" behindDoc="0" simplePos="0" relativeHeight="4">
            <wp:simplePos x="0" y="0"/>
            <wp:positionH relativeFrom="page">
              <wp:posOffset>1593804</wp:posOffset>
            </wp:positionH>
            <wp:positionV relativeFrom="paragraph">
              <wp:posOffset>168148</wp:posOffset>
            </wp:positionV>
            <wp:extent cx="4799985" cy="3178873"/>
            <wp:effectExtent l="0" t="0" r="0" b="0"/>
            <wp:wrapTopAndBottom/>
            <wp:docPr id="17" name="image9.jpeg"/>
            <wp:cNvGraphicFramePr>
              <a:graphicFrameLocks noChangeAspect="1"/>
            </wp:cNvGraphicFramePr>
            <a:graphic>
              <a:graphicData uri="http://schemas.openxmlformats.org/drawingml/2006/picture">
                <pic:pic>
                  <pic:nvPicPr>
                    <pic:cNvPr id="18" name="image9.jpeg"/>
                    <pic:cNvPicPr/>
                  </pic:nvPicPr>
                  <pic:blipFill>
                    <a:blip r:embed="rId16" cstate="print"/>
                    <a:stretch>
                      <a:fillRect/>
                    </a:stretch>
                  </pic:blipFill>
                  <pic:spPr>
                    <a:xfrm>
                      <a:off x="0" y="0"/>
                      <a:ext cx="4799985" cy="3178873"/>
                    </a:xfrm>
                    <a:prstGeom prst="rect">
                      <a:avLst/>
                    </a:prstGeom>
                  </pic:spPr>
                </pic:pic>
              </a:graphicData>
            </a:graphic>
          </wp:anchor>
        </w:drawing>
      </w:r>
    </w:p>
    <w:p>
      <w:pPr>
        <w:pStyle w:val="BodyText"/>
        <w:spacing w:line="360" w:lineRule="auto" w:before="108"/>
        <w:ind w:left="119" w:right="1338"/>
        <w:jc w:val="both"/>
      </w:pPr>
      <w:r>
        <w:rPr/>
        <w:t>Figura.4.1. </w:t>
      </w:r>
      <w:r>
        <w:rPr>
          <w:i/>
        </w:rPr>
        <w:t>Esquematización teórica del corte con doble CRISPR. </w:t>
      </w:r>
      <w:r>
        <w:rPr/>
        <w:t>En la imagen se muestra la línea celular y el pseudogen que será editado en cada una de ellas, el número 1 indica el proceso mediante el cual la enzima Cas9 generará el doble corte; el número 2 indica el proceso</w:t>
      </w:r>
      <w:r>
        <w:rPr>
          <w:spacing w:val="-14"/>
        </w:rPr>
        <w:t> </w:t>
      </w:r>
      <w:r>
        <w:rPr/>
        <w:t>de</w:t>
      </w:r>
      <w:r>
        <w:rPr>
          <w:spacing w:val="-14"/>
        </w:rPr>
        <w:t> </w:t>
      </w:r>
      <w:r>
        <w:rPr/>
        <w:t>reparación</w:t>
      </w:r>
      <w:r>
        <w:rPr>
          <w:spacing w:val="-13"/>
        </w:rPr>
        <w:t> </w:t>
      </w:r>
      <w:r>
        <w:rPr/>
        <w:t>celular</w:t>
      </w:r>
      <w:r>
        <w:rPr>
          <w:spacing w:val="-12"/>
        </w:rPr>
        <w:t> </w:t>
      </w:r>
      <w:r>
        <w:rPr/>
        <w:t>en</w:t>
      </w:r>
      <w:r>
        <w:rPr>
          <w:spacing w:val="-13"/>
        </w:rPr>
        <w:t> </w:t>
      </w:r>
      <w:r>
        <w:rPr/>
        <w:t>donde</w:t>
      </w:r>
      <w:r>
        <w:rPr>
          <w:spacing w:val="-14"/>
        </w:rPr>
        <w:t> </w:t>
      </w:r>
      <w:r>
        <w:rPr/>
        <w:t>se</w:t>
      </w:r>
      <w:r>
        <w:rPr>
          <w:spacing w:val="-14"/>
        </w:rPr>
        <w:t> </w:t>
      </w:r>
      <w:r>
        <w:rPr/>
        <w:t>elimina</w:t>
      </w:r>
      <w:r>
        <w:rPr>
          <w:spacing w:val="-14"/>
        </w:rPr>
        <w:t> </w:t>
      </w:r>
      <w:r>
        <w:rPr/>
        <w:t>el</w:t>
      </w:r>
      <w:r>
        <w:rPr>
          <w:spacing w:val="-14"/>
        </w:rPr>
        <w:t> </w:t>
      </w:r>
      <w:r>
        <w:rPr/>
        <w:t>fragmento</w:t>
      </w:r>
      <w:r>
        <w:rPr>
          <w:spacing w:val="-13"/>
        </w:rPr>
        <w:t> </w:t>
      </w:r>
      <w:r>
        <w:rPr/>
        <w:t>central</w:t>
      </w:r>
      <w:r>
        <w:rPr>
          <w:spacing w:val="-13"/>
        </w:rPr>
        <w:t> </w:t>
      </w:r>
      <w:r>
        <w:rPr/>
        <w:t>y</w:t>
      </w:r>
      <w:r>
        <w:rPr>
          <w:spacing w:val="-13"/>
        </w:rPr>
        <w:t> </w:t>
      </w:r>
      <w:r>
        <w:rPr/>
        <w:t>se</w:t>
      </w:r>
      <w:r>
        <w:rPr>
          <w:spacing w:val="-14"/>
        </w:rPr>
        <w:t> </w:t>
      </w:r>
      <w:r>
        <w:rPr/>
        <w:t>unen</w:t>
      </w:r>
      <w:r>
        <w:rPr>
          <w:spacing w:val="-13"/>
        </w:rPr>
        <w:t> </w:t>
      </w:r>
      <w:r>
        <w:rPr/>
        <w:t>los</w:t>
      </w:r>
      <w:r>
        <w:rPr>
          <w:spacing w:val="-15"/>
        </w:rPr>
        <w:t> </w:t>
      </w:r>
      <w:r>
        <w:rPr/>
        <w:t>extremos de</w:t>
      </w:r>
      <w:r>
        <w:rPr>
          <w:spacing w:val="-6"/>
        </w:rPr>
        <w:t> </w:t>
      </w:r>
      <w:r>
        <w:rPr/>
        <w:t>la</w:t>
      </w:r>
      <w:r>
        <w:rPr>
          <w:spacing w:val="-4"/>
        </w:rPr>
        <w:t> </w:t>
      </w:r>
      <w:r>
        <w:rPr/>
        <w:t>secuencia,</w:t>
      </w:r>
      <w:r>
        <w:rPr>
          <w:spacing w:val="-2"/>
        </w:rPr>
        <w:t> </w:t>
      </w:r>
      <w:r>
        <w:rPr/>
        <w:t>y</w:t>
      </w:r>
      <w:r>
        <w:rPr>
          <w:spacing w:val="-4"/>
        </w:rPr>
        <w:t> </w:t>
      </w:r>
      <w:r>
        <w:rPr/>
        <w:t>el</w:t>
      </w:r>
      <w:r>
        <w:rPr>
          <w:spacing w:val="-8"/>
        </w:rPr>
        <w:t> </w:t>
      </w:r>
      <w:r>
        <w:rPr/>
        <w:t>número</w:t>
      </w:r>
      <w:r>
        <w:rPr>
          <w:spacing w:val="-10"/>
        </w:rPr>
        <w:t> </w:t>
      </w:r>
      <w:r>
        <w:rPr/>
        <w:t>3</w:t>
      </w:r>
      <w:r>
        <w:rPr>
          <w:spacing w:val="-9"/>
        </w:rPr>
        <w:t> </w:t>
      </w:r>
      <w:r>
        <w:rPr/>
        <w:t>indica</w:t>
      </w:r>
      <w:r>
        <w:rPr>
          <w:spacing w:val="-5"/>
        </w:rPr>
        <w:t> </w:t>
      </w:r>
      <w:r>
        <w:rPr/>
        <w:t>la</w:t>
      </w:r>
      <w:r>
        <w:rPr>
          <w:spacing w:val="-9"/>
        </w:rPr>
        <w:t> </w:t>
      </w:r>
      <w:r>
        <w:rPr/>
        <w:t>nueva</w:t>
      </w:r>
      <w:r>
        <w:rPr>
          <w:spacing w:val="-5"/>
        </w:rPr>
        <w:t> </w:t>
      </w:r>
      <w:r>
        <w:rPr/>
        <w:t>secuencia</w:t>
      </w:r>
      <w:r>
        <w:rPr>
          <w:spacing w:val="-4"/>
        </w:rPr>
        <w:t> </w:t>
      </w:r>
      <w:r>
        <w:rPr/>
        <w:t>producto</w:t>
      </w:r>
      <w:r>
        <w:rPr>
          <w:spacing w:val="-4"/>
        </w:rPr>
        <w:t> </w:t>
      </w:r>
      <w:r>
        <w:rPr/>
        <w:t>de</w:t>
      </w:r>
      <w:r>
        <w:rPr>
          <w:spacing w:val="-10"/>
        </w:rPr>
        <w:t> </w:t>
      </w:r>
      <w:r>
        <w:rPr/>
        <w:t>la</w:t>
      </w:r>
      <w:r>
        <w:rPr>
          <w:spacing w:val="-4"/>
        </w:rPr>
        <w:t> </w:t>
      </w:r>
      <w:r>
        <w:rPr/>
        <w:t>edición</w:t>
      </w:r>
      <w:r>
        <w:rPr>
          <w:spacing w:val="-9"/>
        </w:rPr>
        <w:t> </w:t>
      </w:r>
      <w:r>
        <w:rPr/>
        <w:t>y</w:t>
      </w:r>
      <w:r>
        <w:rPr>
          <w:spacing w:val="-4"/>
        </w:rPr>
        <w:t> </w:t>
      </w:r>
      <w:r>
        <w:rPr/>
        <w:t>la</w:t>
      </w:r>
      <w:r>
        <w:rPr>
          <w:spacing w:val="-9"/>
        </w:rPr>
        <w:t> </w:t>
      </w:r>
      <w:r>
        <w:rPr/>
        <w:t>posterior reparación por parte de la maquinaria</w:t>
      </w:r>
      <w:r>
        <w:rPr>
          <w:spacing w:val="2"/>
        </w:rPr>
        <w:t> </w:t>
      </w:r>
      <w:r>
        <w:rPr/>
        <w:t>celular.</w:t>
      </w:r>
    </w:p>
    <w:p>
      <w:pPr>
        <w:spacing w:after="0" w:line="360" w:lineRule="auto"/>
        <w:jc w:val="both"/>
        <w:sectPr>
          <w:pgSz w:w="12240" w:h="15840"/>
          <w:pgMar w:header="7" w:footer="0" w:top="1040" w:bottom="280" w:left="1580" w:right="360"/>
        </w:sectPr>
      </w:pPr>
    </w:p>
    <w:p>
      <w:pPr>
        <w:pStyle w:val="BodyText"/>
        <w:spacing w:line="360" w:lineRule="auto" w:before="80"/>
        <w:ind w:left="119" w:right="1339" w:firstLine="302"/>
        <w:jc w:val="both"/>
        <w:rPr>
          <w:sz w:val="20"/>
        </w:rPr>
      </w:pPr>
      <w:r>
        <w:rPr/>
        <w:t>Las secuencias de cada pareja de gRNAs seleccionadas mediante el programa CHOP CHOP</w:t>
      </w:r>
      <w:r>
        <w:rPr>
          <w:spacing w:val="-4"/>
        </w:rPr>
        <w:t> </w:t>
      </w:r>
      <w:r>
        <w:rPr/>
        <w:t>que</w:t>
      </w:r>
      <w:r>
        <w:rPr>
          <w:spacing w:val="-6"/>
        </w:rPr>
        <w:t> </w:t>
      </w:r>
      <w:r>
        <w:rPr/>
        <w:t>se</w:t>
      </w:r>
      <w:r>
        <w:rPr>
          <w:spacing w:val="-6"/>
        </w:rPr>
        <w:t> </w:t>
      </w:r>
      <w:r>
        <w:rPr/>
        <w:t>usaron</w:t>
      </w:r>
      <w:r>
        <w:rPr>
          <w:spacing w:val="-10"/>
        </w:rPr>
        <w:t> </w:t>
      </w:r>
      <w:r>
        <w:rPr/>
        <w:t>para</w:t>
      </w:r>
      <w:r>
        <w:rPr>
          <w:spacing w:val="-11"/>
        </w:rPr>
        <w:t> </w:t>
      </w:r>
      <w:r>
        <w:rPr/>
        <w:t>realizar</w:t>
      </w:r>
      <w:r>
        <w:rPr>
          <w:spacing w:val="-3"/>
        </w:rPr>
        <w:t> </w:t>
      </w:r>
      <w:r>
        <w:rPr/>
        <w:t>los</w:t>
      </w:r>
      <w:r>
        <w:rPr>
          <w:spacing w:val="-11"/>
        </w:rPr>
        <w:t> </w:t>
      </w:r>
      <w:r>
        <w:rPr/>
        <w:t>cortes</w:t>
      </w:r>
      <w:r>
        <w:rPr>
          <w:spacing w:val="-8"/>
        </w:rPr>
        <w:t> </w:t>
      </w:r>
      <w:r>
        <w:rPr/>
        <w:t>dobles</w:t>
      </w:r>
      <w:r>
        <w:rPr>
          <w:spacing w:val="-12"/>
        </w:rPr>
        <w:t> </w:t>
      </w:r>
      <w:r>
        <w:rPr/>
        <w:t>son</w:t>
      </w:r>
      <w:r>
        <w:rPr>
          <w:spacing w:val="-5"/>
        </w:rPr>
        <w:t> </w:t>
      </w:r>
      <w:r>
        <w:rPr/>
        <w:t>presentadas</w:t>
      </w:r>
      <w:r>
        <w:rPr>
          <w:spacing w:val="-7"/>
        </w:rPr>
        <w:t> </w:t>
      </w:r>
      <w:r>
        <w:rPr/>
        <w:t>a</w:t>
      </w:r>
      <w:r>
        <w:rPr>
          <w:spacing w:val="-6"/>
        </w:rPr>
        <w:t> </w:t>
      </w:r>
      <w:r>
        <w:rPr/>
        <w:t>continuación</w:t>
      </w:r>
      <w:r>
        <w:rPr>
          <w:spacing w:val="-9"/>
        </w:rPr>
        <w:t> </w:t>
      </w:r>
      <w:r>
        <w:rPr/>
        <w:t>en</w:t>
      </w:r>
      <w:r>
        <w:rPr>
          <w:spacing w:val="-10"/>
        </w:rPr>
        <w:t> </w:t>
      </w:r>
      <w:r>
        <w:rPr/>
        <w:t>tablas, indicando para que promotor de pseudogen fueron diseñadas, además se muestra el tamaño teórico de la secuencia cortada. Las letras de color verde en las secuencias muestran la parte de la secuencia que fue añadida con el fin de poder unirse por complementariedad de bases a los extremos del plásmido</w:t>
      </w:r>
      <w:r>
        <w:rPr>
          <w:spacing w:val="2"/>
        </w:rPr>
        <w:t> </w:t>
      </w:r>
      <w:r>
        <w:rPr>
          <w:sz w:val="20"/>
        </w:rPr>
        <w:t>e</w:t>
      </w:r>
      <w:r>
        <w:rPr>
          <w:rFonts w:ascii="Arial" w:hAnsi="Arial"/>
          <w:sz w:val="22"/>
        </w:rPr>
        <w:t>SpCas9(1.1)-T2A</w:t>
      </w:r>
      <w:r>
        <w:rPr>
          <w:sz w:val="20"/>
        </w:rPr>
        <w:t>.</w:t>
      </w:r>
    </w:p>
    <w:p>
      <w:pPr>
        <w:pStyle w:val="BodyText"/>
        <w:rPr>
          <w:sz w:val="26"/>
        </w:rPr>
      </w:pPr>
    </w:p>
    <w:p>
      <w:pPr>
        <w:pStyle w:val="BodyText"/>
        <w:rPr>
          <w:sz w:val="26"/>
        </w:rPr>
      </w:pPr>
    </w:p>
    <w:p>
      <w:pPr>
        <w:spacing w:before="231"/>
        <w:ind w:left="504" w:right="0" w:firstLine="0"/>
        <w:jc w:val="left"/>
        <w:rPr>
          <w:i/>
          <w:sz w:val="24"/>
        </w:rPr>
      </w:pPr>
      <w:r>
        <w:rPr>
          <w:sz w:val="24"/>
        </w:rPr>
        <w:t>Tabla 4.2</w:t>
      </w:r>
      <w:r>
        <w:rPr>
          <w:i/>
          <w:sz w:val="24"/>
        </w:rPr>
        <w:t>. Parejas de primers diseñados para cortar el promotor en el Pseudogen 1</w:t>
      </w:r>
    </w:p>
    <w:p>
      <w:pPr>
        <w:pStyle w:val="BodyText"/>
        <w:spacing w:before="10"/>
        <w:rPr>
          <w:i/>
          <w:sz w:val="28"/>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9"/>
        <w:gridCol w:w="6525"/>
      </w:tblGrid>
      <w:tr>
        <w:trPr>
          <w:trHeight w:val="450" w:hRule="atLeast"/>
        </w:trPr>
        <w:tc>
          <w:tcPr>
            <w:tcW w:w="3539" w:type="dxa"/>
          </w:tcPr>
          <w:p>
            <w:pPr>
              <w:pStyle w:val="TableParagraph"/>
              <w:rPr>
                <w:sz w:val="22"/>
              </w:rPr>
            </w:pPr>
            <w:r>
              <w:rPr>
                <w:sz w:val="22"/>
              </w:rPr>
              <w:t>gRNA</w:t>
            </w:r>
          </w:p>
        </w:tc>
        <w:tc>
          <w:tcPr>
            <w:tcW w:w="6525" w:type="dxa"/>
          </w:tcPr>
          <w:p>
            <w:pPr>
              <w:pStyle w:val="TableParagraph"/>
              <w:ind w:left="105"/>
              <w:rPr>
                <w:sz w:val="22"/>
              </w:rPr>
            </w:pPr>
            <w:r>
              <w:rPr>
                <w:sz w:val="22"/>
              </w:rPr>
              <w:t>Oligonucleótido</w:t>
            </w:r>
          </w:p>
        </w:tc>
      </w:tr>
      <w:tr>
        <w:trPr>
          <w:trHeight w:val="749" w:hRule="atLeast"/>
        </w:trPr>
        <w:tc>
          <w:tcPr>
            <w:tcW w:w="3539" w:type="dxa"/>
          </w:tcPr>
          <w:p>
            <w:pPr>
              <w:pStyle w:val="TableParagraph"/>
              <w:spacing w:before="101"/>
              <w:rPr>
                <w:b/>
                <w:sz w:val="24"/>
              </w:rPr>
            </w:pPr>
            <w:r>
              <w:rPr>
                <w:b/>
                <w:sz w:val="24"/>
              </w:rPr>
              <w:t>gRNA_Rnf19aP1_F_ME</w:t>
            </w:r>
          </w:p>
        </w:tc>
        <w:tc>
          <w:tcPr>
            <w:tcW w:w="6525" w:type="dxa"/>
          </w:tcPr>
          <w:p>
            <w:pPr>
              <w:pStyle w:val="TableParagraph"/>
              <w:tabs>
                <w:tab w:pos="1906" w:val="left" w:leader="none"/>
              </w:tabs>
              <w:spacing w:before="101"/>
              <w:ind w:left="105"/>
              <w:rPr>
                <w:sz w:val="22"/>
              </w:rPr>
            </w:pPr>
            <w:r>
              <w:rPr>
                <w:sz w:val="22"/>
              </w:rPr>
              <w:t>Forward</w:t>
            </w:r>
            <w:r>
              <w:rPr>
                <w:spacing w:val="-2"/>
                <w:sz w:val="22"/>
              </w:rPr>
              <w:t> </w:t>
            </w:r>
            <w:r>
              <w:rPr>
                <w:sz w:val="22"/>
              </w:rPr>
              <w:t>(5’-3’):</w:t>
              <w:tab/>
            </w:r>
            <w:r>
              <w:rPr>
                <w:color w:val="00AF50"/>
                <w:sz w:val="22"/>
              </w:rPr>
              <w:t>CACC</w:t>
            </w:r>
            <w:r>
              <w:rPr>
                <w:sz w:val="22"/>
              </w:rPr>
              <w:t>GCTGAATAATGACCTCCAA</w:t>
            </w:r>
          </w:p>
        </w:tc>
      </w:tr>
      <w:tr>
        <w:trPr>
          <w:trHeight w:val="753" w:hRule="atLeast"/>
        </w:trPr>
        <w:tc>
          <w:tcPr>
            <w:tcW w:w="3539" w:type="dxa"/>
          </w:tcPr>
          <w:p>
            <w:pPr>
              <w:pStyle w:val="TableParagraph"/>
              <w:spacing w:before="101"/>
              <w:rPr>
                <w:b/>
                <w:sz w:val="24"/>
              </w:rPr>
            </w:pPr>
            <w:r>
              <w:rPr>
                <w:b/>
                <w:sz w:val="24"/>
              </w:rPr>
              <w:t>gRNA_Rnf19aP1_R_ME</w:t>
            </w:r>
          </w:p>
        </w:tc>
        <w:tc>
          <w:tcPr>
            <w:tcW w:w="6525" w:type="dxa"/>
          </w:tcPr>
          <w:p>
            <w:pPr>
              <w:pStyle w:val="TableParagraph"/>
              <w:tabs>
                <w:tab w:pos="1978" w:val="left" w:leader="none"/>
              </w:tabs>
              <w:spacing w:before="96"/>
              <w:ind w:left="105"/>
              <w:rPr>
                <w:sz w:val="22"/>
              </w:rPr>
            </w:pPr>
            <w:r>
              <w:rPr>
                <w:sz w:val="22"/>
              </w:rPr>
              <w:t>Reverse</w:t>
            </w:r>
            <w:r>
              <w:rPr>
                <w:spacing w:val="-3"/>
                <w:sz w:val="22"/>
              </w:rPr>
              <w:t> </w:t>
            </w:r>
            <w:r>
              <w:rPr>
                <w:sz w:val="22"/>
              </w:rPr>
              <w:t>(5’-3’):</w:t>
              <w:tab/>
            </w:r>
            <w:r>
              <w:rPr>
                <w:color w:val="00AF50"/>
                <w:sz w:val="22"/>
              </w:rPr>
              <w:t>AAAC</w:t>
            </w:r>
            <w:r>
              <w:rPr>
                <w:sz w:val="22"/>
              </w:rPr>
              <w:t>TTGGAGGTCATTATTCAGC</w:t>
            </w:r>
          </w:p>
        </w:tc>
      </w:tr>
      <w:tr>
        <w:trPr>
          <w:trHeight w:val="739" w:hRule="atLeast"/>
        </w:trPr>
        <w:tc>
          <w:tcPr>
            <w:tcW w:w="3539" w:type="dxa"/>
          </w:tcPr>
          <w:p>
            <w:pPr>
              <w:pStyle w:val="TableParagraph"/>
              <w:rPr>
                <w:b/>
                <w:sz w:val="22"/>
              </w:rPr>
            </w:pPr>
            <w:r>
              <w:rPr>
                <w:b/>
                <w:sz w:val="22"/>
              </w:rPr>
              <w:t>gRNA_Rnf19aP1_F2_ME</w:t>
            </w:r>
          </w:p>
        </w:tc>
        <w:tc>
          <w:tcPr>
            <w:tcW w:w="6525" w:type="dxa"/>
          </w:tcPr>
          <w:p>
            <w:pPr>
              <w:pStyle w:val="TableParagraph"/>
              <w:tabs>
                <w:tab w:pos="1906" w:val="left" w:leader="none"/>
              </w:tabs>
              <w:ind w:left="105"/>
              <w:rPr>
                <w:sz w:val="22"/>
              </w:rPr>
            </w:pPr>
            <w:r>
              <w:rPr>
                <w:sz w:val="22"/>
              </w:rPr>
              <w:t>Forward</w:t>
            </w:r>
            <w:r>
              <w:rPr>
                <w:spacing w:val="-2"/>
                <w:sz w:val="22"/>
              </w:rPr>
              <w:t> </w:t>
            </w:r>
            <w:r>
              <w:rPr>
                <w:sz w:val="22"/>
              </w:rPr>
              <w:t>(5’-3’):</w:t>
              <w:tab/>
            </w:r>
            <w:r>
              <w:rPr>
                <w:color w:val="00AF50"/>
                <w:sz w:val="22"/>
              </w:rPr>
              <w:t>CACC</w:t>
            </w:r>
            <w:r>
              <w:rPr>
                <w:sz w:val="22"/>
              </w:rPr>
              <w:t>GGTTACCAGTGAGTAAGCGA</w:t>
            </w:r>
          </w:p>
        </w:tc>
      </w:tr>
      <w:tr>
        <w:trPr>
          <w:trHeight w:val="705" w:hRule="atLeast"/>
        </w:trPr>
        <w:tc>
          <w:tcPr>
            <w:tcW w:w="3539" w:type="dxa"/>
          </w:tcPr>
          <w:p>
            <w:pPr>
              <w:pStyle w:val="TableParagraph"/>
              <w:rPr>
                <w:b/>
                <w:sz w:val="22"/>
              </w:rPr>
            </w:pPr>
            <w:r>
              <w:rPr>
                <w:b/>
                <w:sz w:val="22"/>
              </w:rPr>
              <w:t>gRNA_Rnf19aP1_R2_ME</w:t>
            </w:r>
          </w:p>
        </w:tc>
        <w:tc>
          <w:tcPr>
            <w:tcW w:w="6525" w:type="dxa"/>
          </w:tcPr>
          <w:p>
            <w:pPr>
              <w:pStyle w:val="TableParagraph"/>
              <w:tabs>
                <w:tab w:pos="1978" w:val="left" w:leader="none"/>
              </w:tabs>
              <w:ind w:left="105"/>
              <w:rPr>
                <w:sz w:val="22"/>
              </w:rPr>
            </w:pPr>
            <w:r>
              <w:rPr>
                <w:sz w:val="22"/>
              </w:rPr>
              <w:t>Reverse</w:t>
            </w:r>
            <w:r>
              <w:rPr>
                <w:spacing w:val="-3"/>
                <w:sz w:val="22"/>
              </w:rPr>
              <w:t> </w:t>
            </w:r>
            <w:r>
              <w:rPr>
                <w:sz w:val="22"/>
              </w:rPr>
              <w:t>(5’-3’):</w:t>
              <w:tab/>
            </w:r>
            <w:r>
              <w:rPr>
                <w:color w:val="00AF50"/>
                <w:sz w:val="22"/>
              </w:rPr>
              <w:t>AAAC</w:t>
            </w:r>
            <w:r>
              <w:rPr>
                <w:sz w:val="22"/>
              </w:rPr>
              <w:t>TCGCTTACTCACTGGTAACC</w:t>
            </w:r>
          </w:p>
        </w:tc>
      </w:tr>
      <w:tr>
        <w:trPr>
          <w:trHeight w:val="561" w:hRule="atLeast"/>
        </w:trPr>
        <w:tc>
          <w:tcPr>
            <w:tcW w:w="3539" w:type="dxa"/>
          </w:tcPr>
          <w:p>
            <w:pPr>
              <w:pStyle w:val="TableParagraph"/>
              <w:rPr>
                <w:sz w:val="22"/>
              </w:rPr>
            </w:pPr>
            <w:r>
              <w:rPr>
                <w:sz w:val="22"/>
              </w:rPr>
              <w:t>Tamaño de la secuencia clivada</w:t>
            </w:r>
          </w:p>
        </w:tc>
        <w:tc>
          <w:tcPr>
            <w:tcW w:w="6525" w:type="dxa"/>
          </w:tcPr>
          <w:p>
            <w:pPr>
              <w:pStyle w:val="TableParagraph"/>
              <w:ind w:left="105"/>
              <w:rPr>
                <w:sz w:val="22"/>
              </w:rPr>
            </w:pPr>
            <w:r>
              <w:rPr>
                <w:sz w:val="22"/>
              </w:rPr>
              <w:t>510 pb</w:t>
            </w:r>
          </w:p>
        </w:tc>
      </w:tr>
    </w:tbl>
    <w:p>
      <w:pPr>
        <w:pStyle w:val="BodyText"/>
        <w:rPr>
          <w:i/>
          <w:sz w:val="26"/>
        </w:rPr>
      </w:pPr>
    </w:p>
    <w:p>
      <w:pPr>
        <w:pStyle w:val="BodyText"/>
        <w:spacing w:before="6"/>
        <w:rPr>
          <w:i/>
          <w:sz w:val="35"/>
        </w:rPr>
      </w:pPr>
    </w:p>
    <w:p>
      <w:pPr>
        <w:spacing w:before="0"/>
        <w:ind w:left="600" w:right="0" w:firstLine="0"/>
        <w:jc w:val="left"/>
        <w:rPr>
          <w:i/>
          <w:sz w:val="24"/>
        </w:rPr>
      </w:pPr>
      <w:r>
        <w:rPr>
          <w:color w:val="202429"/>
          <w:sz w:val="24"/>
        </w:rPr>
        <w:t>Tabla 4.3</w:t>
      </w:r>
      <w:r>
        <w:rPr>
          <w:b/>
          <w:color w:val="202429"/>
          <w:sz w:val="24"/>
        </w:rPr>
        <w:t>. </w:t>
      </w:r>
      <w:r>
        <w:rPr>
          <w:i/>
          <w:sz w:val="24"/>
        </w:rPr>
        <w:t>Parejas de primers diseñados para cortar el promotor del pseudogen 2</w:t>
      </w:r>
    </w:p>
    <w:p>
      <w:pPr>
        <w:pStyle w:val="BodyText"/>
        <w:spacing w:before="8" w:after="1"/>
        <w:rPr>
          <w:i/>
          <w:sz w:val="11"/>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3"/>
        <w:gridCol w:w="6233"/>
      </w:tblGrid>
      <w:tr>
        <w:trPr>
          <w:trHeight w:val="580" w:hRule="atLeast"/>
        </w:trPr>
        <w:tc>
          <w:tcPr>
            <w:tcW w:w="3683" w:type="dxa"/>
          </w:tcPr>
          <w:p>
            <w:pPr>
              <w:pStyle w:val="TableParagraph"/>
              <w:rPr>
                <w:sz w:val="22"/>
              </w:rPr>
            </w:pPr>
            <w:r>
              <w:rPr>
                <w:color w:val="202429"/>
                <w:sz w:val="22"/>
              </w:rPr>
              <w:t>gRNA</w:t>
            </w:r>
          </w:p>
        </w:tc>
        <w:tc>
          <w:tcPr>
            <w:tcW w:w="6233" w:type="dxa"/>
          </w:tcPr>
          <w:p>
            <w:pPr>
              <w:pStyle w:val="TableParagraph"/>
              <w:rPr>
                <w:sz w:val="22"/>
              </w:rPr>
            </w:pPr>
            <w:r>
              <w:rPr>
                <w:color w:val="202429"/>
                <w:sz w:val="22"/>
              </w:rPr>
              <w:t>Oligonucleótidos</w:t>
            </w:r>
          </w:p>
        </w:tc>
      </w:tr>
      <w:tr>
        <w:trPr>
          <w:trHeight w:val="624" w:hRule="atLeast"/>
        </w:trPr>
        <w:tc>
          <w:tcPr>
            <w:tcW w:w="3683" w:type="dxa"/>
          </w:tcPr>
          <w:p>
            <w:pPr>
              <w:pStyle w:val="TableParagraph"/>
              <w:spacing w:before="101"/>
              <w:rPr>
                <w:b/>
                <w:sz w:val="22"/>
              </w:rPr>
            </w:pPr>
            <w:r>
              <w:rPr>
                <w:b/>
                <w:sz w:val="22"/>
              </w:rPr>
              <w:t>gRNA_Rnf19aP2_F_ME</w:t>
            </w:r>
          </w:p>
        </w:tc>
        <w:tc>
          <w:tcPr>
            <w:tcW w:w="6233" w:type="dxa"/>
          </w:tcPr>
          <w:p>
            <w:pPr>
              <w:pStyle w:val="TableParagraph"/>
              <w:tabs>
                <w:tab w:pos="1843" w:val="left" w:leader="none"/>
              </w:tabs>
              <w:spacing w:before="101"/>
              <w:rPr>
                <w:sz w:val="22"/>
              </w:rPr>
            </w:pPr>
            <w:r>
              <w:rPr>
                <w:sz w:val="22"/>
              </w:rPr>
              <w:t>Forward</w:t>
            </w:r>
            <w:r>
              <w:rPr>
                <w:spacing w:val="-2"/>
                <w:sz w:val="22"/>
              </w:rPr>
              <w:t> </w:t>
            </w:r>
            <w:r>
              <w:rPr>
                <w:sz w:val="22"/>
              </w:rPr>
              <w:t>(5’-3’):</w:t>
              <w:tab/>
            </w:r>
            <w:r>
              <w:rPr>
                <w:color w:val="00AF50"/>
                <w:sz w:val="22"/>
              </w:rPr>
              <w:t>CACC</w:t>
            </w:r>
            <w:r>
              <w:rPr>
                <w:color w:val="212121"/>
                <w:sz w:val="22"/>
              </w:rPr>
              <w:t>GTGTCTCAAGTTACCACAAT</w:t>
            </w:r>
          </w:p>
        </w:tc>
      </w:tr>
      <w:tr>
        <w:trPr>
          <w:trHeight w:val="575" w:hRule="atLeast"/>
        </w:trPr>
        <w:tc>
          <w:tcPr>
            <w:tcW w:w="3683" w:type="dxa"/>
          </w:tcPr>
          <w:p>
            <w:pPr>
              <w:pStyle w:val="TableParagraph"/>
              <w:rPr>
                <w:b/>
                <w:sz w:val="22"/>
              </w:rPr>
            </w:pPr>
            <w:r>
              <w:rPr>
                <w:b/>
                <w:sz w:val="22"/>
              </w:rPr>
              <w:t>gRNA_Rnf19aP2_R_ME</w:t>
            </w:r>
          </w:p>
        </w:tc>
        <w:tc>
          <w:tcPr>
            <w:tcW w:w="6233" w:type="dxa"/>
          </w:tcPr>
          <w:p>
            <w:pPr>
              <w:pStyle w:val="TableParagraph"/>
              <w:tabs>
                <w:tab w:pos="1911" w:val="left" w:leader="none"/>
              </w:tabs>
              <w:rPr>
                <w:sz w:val="22"/>
              </w:rPr>
            </w:pPr>
            <w:r>
              <w:rPr>
                <w:sz w:val="22"/>
              </w:rPr>
              <w:t>Reverse</w:t>
            </w:r>
            <w:r>
              <w:rPr>
                <w:spacing w:val="-3"/>
                <w:sz w:val="22"/>
              </w:rPr>
              <w:t> </w:t>
            </w:r>
            <w:r>
              <w:rPr>
                <w:sz w:val="22"/>
              </w:rPr>
              <w:t>(5’-3’)</w:t>
            </w:r>
            <w:r>
              <w:rPr>
                <w:color w:val="202429"/>
                <w:sz w:val="22"/>
              </w:rPr>
              <w:t>:</w:t>
              <w:tab/>
            </w:r>
            <w:r>
              <w:rPr>
                <w:color w:val="00AF50"/>
                <w:sz w:val="22"/>
              </w:rPr>
              <w:t>AAAC</w:t>
            </w:r>
            <w:r>
              <w:rPr>
                <w:sz w:val="22"/>
              </w:rPr>
              <w:t>ATTGTGGTAACTTGAGACAC</w:t>
            </w:r>
          </w:p>
        </w:tc>
      </w:tr>
      <w:tr>
        <w:trPr>
          <w:trHeight w:val="580" w:hRule="atLeast"/>
        </w:trPr>
        <w:tc>
          <w:tcPr>
            <w:tcW w:w="3683" w:type="dxa"/>
          </w:tcPr>
          <w:p>
            <w:pPr>
              <w:pStyle w:val="TableParagraph"/>
              <w:rPr>
                <w:b/>
                <w:sz w:val="22"/>
              </w:rPr>
            </w:pPr>
            <w:r>
              <w:rPr>
                <w:b/>
                <w:sz w:val="22"/>
              </w:rPr>
              <w:t>gRNA_Rnf19aP2_F2_ME</w:t>
            </w:r>
          </w:p>
        </w:tc>
        <w:tc>
          <w:tcPr>
            <w:tcW w:w="6233" w:type="dxa"/>
          </w:tcPr>
          <w:p>
            <w:pPr>
              <w:pStyle w:val="TableParagraph"/>
              <w:rPr>
                <w:sz w:val="22"/>
              </w:rPr>
            </w:pPr>
            <w:r>
              <w:rPr>
                <w:sz w:val="22"/>
              </w:rPr>
              <w:t>Forward (5’-3’): </w:t>
            </w:r>
            <w:r>
              <w:rPr>
                <w:color w:val="00AF50"/>
                <w:sz w:val="22"/>
              </w:rPr>
              <w:t>CACC</w:t>
            </w:r>
            <w:r>
              <w:rPr>
                <w:color w:val="212121"/>
                <w:sz w:val="22"/>
              </w:rPr>
              <w:t>GTCTGCCATGAGAGTTGCGT</w:t>
            </w:r>
          </w:p>
        </w:tc>
      </w:tr>
      <w:tr>
        <w:trPr>
          <w:trHeight w:val="623" w:hRule="atLeast"/>
        </w:trPr>
        <w:tc>
          <w:tcPr>
            <w:tcW w:w="3683" w:type="dxa"/>
          </w:tcPr>
          <w:p>
            <w:pPr>
              <w:pStyle w:val="TableParagraph"/>
              <w:rPr>
                <w:b/>
                <w:sz w:val="22"/>
              </w:rPr>
            </w:pPr>
            <w:r>
              <w:rPr>
                <w:b/>
                <w:sz w:val="22"/>
              </w:rPr>
              <w:t>gRNA_Rnf19aP2_R2_ME</w:t>
            </w:r>
          </w:p>
        </w:tc>
        <w:tc>
          <w:tcPr>
            <w:tcW w:w="6233" w:type="dxa"/>
          </w:tcPr>
          <w:p>
            <w:pPr>
              <w:pStyle w:val="TableParagraph"/>
              <w:rPr>
                <w:sz w:val="22"/>
              </w:rPr>
            </w:pPr>
            <w:r>
              <w:rPr>
                <w:sz w:val="22"/>
              </w:rPr>
              <w:t>Reverse (5’-3’)</w:t>
            </w:r>
            <w:r>
              <w:rPr>
                <w:color w:val="202429"/>
                <w:sz w:val="22"/>
              </w:rPr>
              <w:t>:</w:t>
            </w:r>
            <w:r>
              <w:rPr>
                <w:color w:val="202429"/>
                <w:spacing w:val="55"/>
                <w:sz w:val="22"/>
              </w:rPr>
              <w:t> </w:t>
            </w:r>
            <w:r>
              <w:rPr>
                <w:color w:val="00AF50"/>
                <w:sz w:val="22"/>
              </w:rPr>
              <w:t>AAAC</w:t>
            </w:r>
            <w:r>
              <w:rPr>
                <w:color w:val="202429"/>
                <w:sz w:val="22"/>
              </w:rPr>
              <w:t>ACGCAACTCTCATGGCAGAC</w:t>
            </w:r>
          </w:p>
        </w:tc>
      </w:tr>
      <w:tr>
        <w:trPr>
          <w:trHeight w:val="455" w:hRule="atLeast"/>
        </w:trPr>
        <w:tc>
          <w:tcPr>
            <w:tcW w:w="3683" w:type="dxa"/>
          </w:tcPr>
          <w:p>
            <w:pPr>
              <w:pStyle w:val="TableParagraph"/>
              <w:rPr>
                <w:sz w:val="22"/>
              </w:rPr>
            </w:pPr>
            <w:r>
              <w:rPr>
                <w:sz w:val="22"/>
              </w:rPr>
              <w:t>Tamaño de la secuencia clivada</w:t>
            </w:r>
          </w:p>
        </w:tc>
        <w:tc>
          <w:tcPr>
            <w:tcW w:w="6233" w:type="dxa"/>
          </w:tcPr>
          <w:p>
            <w:pPr>
              <w:pStyle w:val="TableParagraph"/>
              <w:rPr>
                <w:sz w:val="22"/>
              </w:rPr>
            </w:pPr>
            <w:r>
              <w:rPr>
                <w:sz w:val="22"/>
              </w:rPr>
              <w:t>7325 pb</w:t>
            </w:r>
          </w:p>
        </w:tc>
      </w:tr>
    </w:tbl>
    <w:p>
      <w:pPr>
        <w:spacing w:after="0"/>
        <w:rPr>
          <w:sz w:val="22"/>
        </w:rPr>
        <w:sectPr>
          <w:pgSz w:w="12240" w:h="15840"/>
          <w:pgMar w:header="7" w:footer="0" w:top="1040" w:bottom="280" w:left="1580" w:right="360"/>
        </w:sectPr>
      </w:pPr>
    </w:p>
    <w:p>
      <w:pPr>
        <w:spacing w:before="80"/>
        <w:ind w:left="571" w:right="0" w:firstLine="0"/>
        <w:jc w:val="left"/>
        <w:rPr>
          <w:i/>
          <w:sz w:val="24"/>
        </w:rPr>
      </w:pPr>
      <w:r>
        <w:rPr>
          <w:sz w:val="24"/>
        </w:rPr>
        <w:t>Tabla 4.4. </w:t>
      </w:r>
      <w:r>
        <w:rPr>
          <w:i/>
          <w:sz w:val="24"/>
        </w:rPr>
        <w:t>Parejas de primers diseñados para cortar el promotor del psuedogen 3.</w:t>
      </w:r>
    </w:p>
    <w:p>
      <w:pPr>
        <w:pStyle w:val="BodyText"/>
        <w:spacing w:before="9"/>
        <w:rPr>
          <w:i/>
          <w:sz w:val="11"/>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3"/>
        <w:gridCol w:w="6233"/>
      </w:tblGrid>
      <w:tr>
        <w:trPr>
          <w:trHeight w:val="455" w:hRule="atLeast"/>
        </w:trPr>
        <w:tc>
          <w:tcPr>
            <w:tcW w:w="3683" w:type="dxa"/>
          </w:tcPr>
          <w:p>
            <w:pPr>
              <w:pStyle w:val="TableParagraph"/>
              <w:rPr>
                <w:sz w:val="22"/>
              </w:rPr>
            </w:pPr>
            <w:r>
              <w:rPr>
                <w:sz w:val="22"/>
              </w:rPr>
              <w:t>gRNA</w:t>
            </w:r>
          </w:p>
        </w:tc>
        <w:tc>
          <w:tcPr>
            <w:tcW w:w="6233" w:type="dxa"/>
          </w:tcPr>
          <w:p>
            <w:pPr>
              <w:pStyle w:val="TableParagraph"/>
              <w:rPr>
                <w:sz w:val="22"/>
              </w:rPr>
            </w:pPr>
            <w:r>
              <w:rPr>
                <w:sz w:val="22"/>
              </w:rPr>
              <w:t>Oligonucleótidos</w:t>
            </w:r>
          </w:p>
        </w:tc>
      </w:tr>
      <w:tr>
        <w:trPr>
          <w:trHeight w:val="581" w:hRule="atLeast"/>
        </w:trPr>
        <w:tc>
          <w:tcPr>
            <w:tcW w:w="3683" w:type="dxa"/>
          </w:tcPr>
          <w:p>
            <w:pPr>
              <w:pStyle w:val="TableParagraph"/>
              <w:spacing w:before="101"/>
              <w:rPr>
                <w:b/>
                <w:sz w:val="24"/>
              </w:rPr>
            </w:pPr>
            <w:r>
              <w:rPr>
                <w:b/>
                <w:sz w:val="24"/>
              </w:rPr>
              <w:t>gRNA_Rnf19aP3_F_ME</w:t>
            </w:r>
          </w:p>
        </w:tc>
        <w:tc>
          <w:tcPr>
            <w:tcW w:w="6233" w:type="dxa"/>
          </w:tcPr>
          <w:p>
            <w:pPr>
              <w:pStyle w:val="TableParagraph"/>
              <w:tabs>
                <w:tab w:pos="1901" w:val="left" w:leader="none"/>
              </w:tabs>
              <w:rPr>
                <w:sz w:val="22"/>
              </w:rPr>
            </w:pPr>
            <w:r>
              <w:rPr>
                <w:sz w:val="22"/>
              </w:rPr>
              <w:t>Forward</w:t>
            </w:r>
            <w:r>
              <w:rPr>
                <w:spacing w:val="-2"/>
                <w:sz w:val="22"/>
              </w:rPr>
              <w:t> </w:t>
            </w:r>
            <w:r>
              <w:rPr>
                <w:sz w:val="22"/>
              </w:rPr>
              <w:t>(5’-3’):</w:t>
              <w:tab/>
            </w:r>
            <w:r>
              <w:rPr>
                <w:color w:val="00AF50"/>
                <w:sz w:val="22"/>
              </w:rPr>
              <w:t>CACC</w:t>
            </w:r>
            <w:r>
              <w:rPr>
                <w:sz w:val="22"/>
              </w:rPr>
              <w:t>GCTCACTGGTAACCGTTCAC</w:t>
            </w:r>
          </w:p>
        </w:tc>
      </w:tr>
      <w:tr>
        <w:trPr>
          <w:trHeight w:val="580" w:hRule="atLeast"/>
        </w:trPr>
        <w:tc>
          <w:tcPr>
            <w:tcW w:w="3683" w:type="dxa"/>
          </w:tcPr>
          <w:p>
            <w:pPr>
              <w:pStyle w:val="TableParagraph"/>
              <w:spacing w:before="101"/>
              <w:rPr>
                <w:b/>
                <w:sz w:val="24"/>
              </w:rPr>
            </w:pPr>
            <w:r>
              <w:rPr>
                <w:b/>
                <w:sz w:val="24"/>
              </w:rPr>
              <w:t>gRNA_Rnf19aP3_R_ME</w:t>
            </w:r>
          </w:p>
        </w:tc>
        <w:tc>
          <w:tcPr>
            <w:tcW w:w="6233" w:type="dxa"/>
          </w:tcPr>
          <w:p>
            <w:pPr>
              <w:pStyle w:val="TableParagraph"/>
              <w:tabs>
                <w:tab w:pos="1853" w:val="left" w:leader="none"/>
              </w:tabs>
              <w:rPr>
                <w:sz w:val="22"/>
              </w:rPr>
            </w:pPr>
            <w:r>
              <w:rPr>
                <w:sz w:val="22"/>
              </w:rPr>
              <w:t>Reverse</w:t>
            </w:r>
            <w:r>
              <w:rPr>
                <w:spacing w:val="-3"/>
                <w:sz w:val="22"/>
              </w:rPr>
              <w:t> </w:t>
            </w:r>
            <w:r>
              <w:rPr>
                <w:sz w:val="22"/>
              </w:rPr>
              <w:t>(5’-3’):</w:t>
              <w:tab/>
            </w:r>
            <w:r>
              <w:rPr>
                <w:color w:val="00AF50"/>
                <w:sz w:val="22"/>
              </w:rPr>
              <w:t>AAAC</w:t>
            </w:r>
            <w:r>
              <w:rPr>
                <w:sz w:val="22"/>
              </w:rPr>
              <w:t>GTGAACGGTTACCAGTGAGC</w:t>
            </w:r>
          </w:p>
        </w:tc>
      </w:tr>
      <w:tr>
        <w:trPr>
          <w:trHeight w:val="618" w:hRule="atLeast"/>
        </w:trPr>
        <w:tc>
          <w:tcPr>
            <w:tcW w:w="3683" w:type="dxa"/>
          </w:tcPr>
          <w:p>
            <w:pPr>
              <w:pStyle w:val="TableParagraph"/>
              <w:rPr>
                <w:b/>
                <w:sz w:val="22"/>
              </w:rPr>
            </w:pPr>
            <w:r>
              <w:rPr>
                <w:b/>
                <w:sz w:val="22"/>
              </w:rPr>
              <w:t>gRNA_Rnf19aP3_F2_ME</w:t>
            </w:r>
          </w:p>
        </w:tc>
        <w:tc>
          <w:tcPr>
            <w:tcW w:w="6233" w:type="dxa"/>
          </w:tcPr>
          <w:p>
            <w:pPr>
              <w:pStyle w:val="TableParagraph"/>
              <w:rPr>
                <w:sz w:val="22"/>
              </w:rPr>
            </w:pPr>
            <w:r>
              <w:rPr>
                <w:sz w:val="22"/>
              </w:rPr>
              <w:t>Forward (5’-3’): </w:t>
            </w:r>
            <w:r>
              <w:rPr>
                <w:color w:val="00AF50"/>
                <w:sz w:val="22"/>
              </w:rPr>
              <w:t>CACC</w:t>
            </w:r>
            <w:r>
              <w:rPr>
                <w:color w:val="202429"/>
                <w:sz w:val="22"/>
              </w:rPr>
              <w:t>GGTGGAAATTATGTGGGTAG</w:t>
            </w:r>
          </w:p>
        </w:tc>
      </w:tr>
      <w:tr>
        <w:trPr>
          <w:trHeight w:val="705" w:hRule="atLeast"/>
        </w:trPr>
        <w:tc>
          <w:tcPr>
            <w:tcW w:w="3683" w:type="dxa"/>
          </w:tcPr>
          <w:p>
            <w:pPr>
              <w:pStyle w:val="TableParagraph"/>
              <w:spacing w:before="101"/>
              <w:rPr>
                <w:b/>
                <w:sz w:val="22"/>
              </w:rPr>
            </w:pPr>
            <w:r>
              <w:rPr>
                <w:b/>
                <w:sz w:val="22"/>
              </w:rPr>
              <w:t>gRNA_Rnf19aP3_R2_ME</w:t>
            </w:r>
          </w:p>
        </w:tc>
        <w:tc>
          <w:tcPr>
            <w:tcW w:w="6233" w:type="dxa"/>
          </w:tcPr>
          <w:p>
            <w:pPr>
              <w:pStyle w:val="TableParagraph"/>
              <w:spacing w:before="101"/>
              <w:rPr>
                <w:sz w:val="22"/>
              </w:rPr>
            </w:pPr>
            <w:r>
              <w:rPr>
                <w:sz w:val="22"/>
              </w:rPr>
              <w:t>Reverse (5’-3’):</w:t>
            </w:r>
            <w:r>
              <w:rPr>
                <w:spacing w:val="54"/>
                <w:sz w:val="22"/>
              </w:rPr>
              <w:t> </w:t>
            </w:r>
            <w:r>
              <w:rPr>
                <w:color w:val="00AF50"/>
                <w:sz w:val="22"/>
              </w:rPr>
              <w:t>AAAC</w:t>
            </w:r>
            <w:r>
              <w:rPr>
                <w:sz w:val="22"/>
              </w:rPr>
              <w:t>CTACCCACATAATTTCCACC</w:t>
            </w:r>
          </w:p>
        </w:tc>
      </w:tr>
      <w:tr>
        <w:trPr>
          <w:trHeight w:val="455" w:hRule="atLeast"/>
        </w:trPr>
        <w:tc>
          <w:tcPr>
            <w:tcW w:w="3683" w:type="dxa"/>
          </w:tcPr>
          <w:p>
            <w:pPr>
              <w:pStyle w:val="TableParagraph"/>
              <w:rPr>
                <w:sz w:val="22"/>
              </w:rPr>
            </w:pPr>
            <w:r>
              <w:rPr>
                <w:sz w:val="22"/>
              </w:rPr>
              <w:t>Tamaño de la secuencia clivada</w:t>
            </w:r>
          </w:p>
        </w:tc>
        <w:tc>
          <w:tcPr>
            <w:tcW w:w="6233" w:type="dxa"/>
          </w:tcPr>
          <w:p>
            <w:pPr>
              <w:pStyle w:val="TableParagraph"/>
              <w:rPr>
                <w:sz w:val="22"/>
              </w:rPr>
            </w:pPr>
            <w:r>
              <w:rPr>
                <w:sz w:val="22"/>
              </w:rPr>
              <w:t>4068 pb</w:t>
            </w:r>
          </w:p>
        </w:tc>
      </w:tr>
    </w:tbl>
    <w:p>
      <w:pPr>
        <w:pStyle w:val="BodyText"/>
        <w:rPr>
          <w:i/>
          <w:sz w:val="26"/>
        </w:rPr>
      </w:pPr>
    </w:p>
    <w:p>
      <w:pPr>
        <w:pStyle w:val="BodyText"/>
        <w:rPr>
          <w:i/>
          <w:sz w:val="26"/>
        </w:rPr>
      </w:pPr>
    </w:p>
    <w:p>
      <w:pPr>
        <w:pStyle w:val="BodyText"/>
        <w:spacing w:before="4"/>
        <w:rPr>
          <w:i/>
          <w:sz w:val="20"/>
        </w:rPr>
      </w:pPr>
    </w:p>
    <w:p>
      <w:pPr>
        <w:spacing w:line="360" w:lineRule="auto" w:before="0"/>
        <w:ind w:left="119" w:right="1342" w:firstLine="0"/>
        <w:jc w:val="both"/>
        <w:rPr>
          <w:i/>
          <w:sz w:val="24"/>
        </w:rPr>
      </w:pPr>
      <w:r>
        <w:rPr>
          <w:i/>
          <w:sz w:val="24"/>
        </w:rPr>
        <w:t>OE2: Editar genéticamente los promotores de los tres pseudogenes de Rnf19a mediante el </w:t>
      </w:r>
      <w:r>
        <w:rPr>
          <w:i/>
          <w:sz w:val="24"/>
        </w:rPr>
        <w:t>uso de un par de gRNAs utilizados en simultáneo.</w:t>
      </w:r>
    </w:p>
    <w:p>
      <w:pPr>
        <w:pStyle w:val="BodyText"/>
        <w:spacing w:before="8"/>
        <w:rPr>
          <w:i/>
          <w:sz w:val="35"/>
        </w:rPr>
      </w:pPr>
    </w:p>
    <w:p>
      <w:pPr>
        <w:pStyle w:val="ListParagraph"/>
        <w:numPr>
          <w:ilvl w:val="1"/>
          <w:numId w:val="7"/>
        </w:numPr>
        <w:tabs>
          <w:tab w:pos="484" w:val="left" w:leader="none"/>
        </w:tabs>
        <w:spacing w:line="240" w:lineRule="auto" w:before="0" w:after="0"/>
        <w:ind w:left="484" w:right="0" w:hanging="365"/>
        <w:jc w:val="left"/>
        <w:rPr>
          <w:b/>
          <w:sz w:val="24"/>
        </w:rPr>
      </w:pPr>
      <w:bookmarkStart w:name="_TOC_250005" w:id="25"/>
      <w:r>
        <w:rPr>
          <w:b/>
          <w:sz w:val="24"/>
        </w:rPr>
        <w:t>Transfección de construcción Cas9-promotor</w:t>
      </w:r>
      <w:r>
        <w:rPr>
          <w:b/>
          <w:spacing w:val="3"/>
          <w:sz w:val="24"/>
        </w:rPr>
        <w:t> </w:t>
      </w:r>
      <w:bookmarkEnd w:id="25"/>
      <w:r>
        <w:rPr>
          <w:b/>
          <w:sz w:val="24"/>
        </w:rPr>
        <w:t>pseudogenes:</w:t>
      </w:r>
    </w:p>
    <w:p>
      <w:pPr>
        <w:pStyle w:val="BodyText"/>
        <w:rPr>
          <w:b/>
          <w:sz w:val="26"/>
        </w:rPr>
      </w:pPr>
    </w:p>
    <w:p>
      <w:pPr>
        <w:pStyle w:val="BodyText"/>
        <w:spacing w:before="3"/>
        <w:rPr>
          <w:b/>
          <w:sz w:val="22"/>
        </w:rPr>
      </w:pPr>
    </w:p>
    <w:p>
      <w:pPr>
        <w:pStyle w:val="BodyText"/>
        <w:spacing w:line="360" w:lineRule="auto"/>
        <w:ind w:left="119" w:right="1343"/>
        <w:jc w:val="both"/>
      </w:pPr>
      <w:r>
        <w:rPr/>
        <w:drawing>
          <wp:anchor distT="0" distB="0" distL="0" distR="0" allowOverlap="1" layoutInCell="1" locked="0" behindDoc="0" simplePos="0" relativeHeight="5">
            <wp:simplePos x="0" y="0"/>
            <wp:positionH relativeFrom="page">
              <wp:posOffset>2221424</wp:posOffset>
            </wp:positionH>
            <wp:positionV relativeFrom="paragraph">
              <wp:posOffset>570515</wp:posOffset>
            </wp:positionV>
            <wp:extent cx="3563270" cy="2217039"/>
            <wp:effectExtent l="0" t="0" r="0" b="0"/>
            <wp:wrapTopAndBottom/>
            <wp:docPr id="19" name="image10.png"/>
            <wp:cNvGraphicFramePr>
              <a:graphicFrameLocks noChangeAspect="1"/>
            </wp:cNvGraphicFramePr>
            <a:graphic>
              <a:graphicData uri="http://schemas.openxmlformats.org/drawingml/2006/picture">
                <pic:pic>
                  <pic:nvPicPr>
                    <pic:cNvPr id="20" name="image10.png"/>
                    <pic:cNvPicPr/>
                  </pic:nvPicPr>
                  <pic:blipFill>
                    <a:blip r:embed="rId17" cstate="print"/>
                    <a:stretch>
                      <a:fillRect/>
                    </a:stretch>
                  </pic:blipFill>
                  <pic:spPr>
                    <a:xfrm>
                      <a:off x="0" y="0"/>
                      <a:ext cx="3563270" cy="2217039"/>
                    </a:xfrm>
                    <a:prstGeom prst="rect">
                      <a:avLst/>
                    </a:prstGeom>
                  </pic:spPr>
                </pic:pic>
              </a:graphicData>
            </a:graphic>
          </wp:anchor>
        </w:drawing>
      </w:r>
      <w:r>
        <w:rPr/>
        <w:t>Además,</w:t>
      </w:r>
      <w:r>
        <w:rPr>
          <w:spacing w:val="-5"/>
        </w:rPr>
        <w:t> </w:t>
      </w:r>
      <w:r>
        <w:rPr/>
        <w:t>en</w:t>
      </w:r>
      <w:r>
        <w:rPr>
          <w:spacing w:val="-6"/>
        </w:rPr>
        <w:t> </w:t>
      </w:r>
      <w:r>
        <w:rPr/>
        <w:t>el</w:t>
      </w:r>
      <w:r>
        <w:rPr>
          <w:spacing w:val="-5"/>
        </w:rPr>
        <w:t> </w:t>
      </w:r>
      <w:r>
        <w:rPr/>
        <w:t>diseño</w:t>
      </w:r>
      <w:r>
        <w:rPr>
          <w:spacing w:val="-7"/>
        </w:rPr>
        <w:t> </w:t>
      </w:r>
      <w:r>
        <w:rPr/>
        <w:t>experimental</w:t>
      </w:r>
      <w:r>
        <w:rPr>
          <w:spacing w:val="-6"/>
        </w:rPr>
        <w:t> </w:t>
      </w:r>
      <w:r>
        <w:rPr/>
        <w:t>se</w:t>
      </w:r>
      <w:r>
        <w:rPr>
          <w:spacing w:val="-7"/>
        </w:rPr>
        <w:t> </w:t>
      </w:r>
      <w:r>
        <w:rPr/>
        <w:t>decidió</w:t>
      </w:r>
      <w:r>
        <w:rPr>
          <w:spacing w:val="-11"/>
        </w:rPr>
        <w:t> </w:t>
      </w:r>
      <w:r>
        <w:rPr/>
        <w:t>editar</w:t>
      </w:r>
      <w:r>
        <w:rPr>
          <w:spacing w:val="-5"/>
        </w:rPr>
        <w:t> </w:t>
      </w:r>
      <w:r>
        <w:rPr/>
        <w:t>un</w:t>
      </w:r>
      <w:r>
        <w:rPr>
          <w:spacing w:val="-11"/>
        </w:rPr>
        <w:t> </w:t>
      </w:r>
      <w:r>
        <w:rPr/>
        <w:t>pseudogen</w:t>
      </w:r>
      <w:r>
        <w:rPr>
          <w:spacing w:val="-6"/>
        </w:rPr>
        <w:t> </w:t>
      </w:r>
      <w:r>
        <w:rPr/>
        <w:t>por</w:t>
      </w:r>
      <w:r>
        <w:rPr>
          <w:spacing w:val="-9"/>
        </w:rPr>
        <w:t> </w:t>
      </w:r>
      <w:r>
        <w:rPr/>
        <w:t>línea</w:t>
      </w:r>
      <w:r>
        <w:rPr>
          <w:spacing w:val="-7"/>
        </w:rPr>
        <w:t> </w:t>
      </w:r>
      <w:r>
        <w:rPr/>
        <w:t>celular,</w:t>
      </w:r>
      <w:r>
        <w:rPr>
          <w:spacing w:val="-4"/>
        </w:rPr>
        <w:t> </w:t>
      </w:r>
      <w:r>
        <w:rPr/>
        <w:t>como</w:t>
      </w:r>
      <w:r>
        <w:rPr>
          <w:spacing w:val="-11"/>
        </w:rPr>
        <w:t> </w:t>
      </w:r>
      <w:r>
        <w:rPr/>
        <w:t>se muestra en el esquema de la figura</w:t>
      </w:r>
      <w:r>
        <w:rPr>
          <w:spacing w:val="8"/>
        </w:rPr>
        <w:t> </w:t>
      </w:r>
      <w:r>
        <w:rPr/>
        <w:t>4.5.</w:t>
      </w:r>
    </w:p>
    <w:p>
      <w:pPr>
        <w:pStyle w:val="BodyText"/>
        <w:spacing w:line="360" w:lineRule="auto" w:before="233"/>
        <w:ind w:left="119" w:right="1338"/>
        <w:jc w:val="both"/>
      </w:pPr>
      <w:r>
        <w:rPr/>
        <w:t>Figura.4.5. Esquema que muestra la disposición de los cultivos de líneas celulares y como fueron</w:t>
      </w:r>
      <w:r>
        <w:rPr>
          <w:spacing w:val="-11"/>
        </w:rPr>
        <w:t> </w:t>
      </w:r>
      <w:r>
        <w:rPr/>
        <w:t>editados,</w:t>
      </w:r>
      <w:r>
        <w:rPr>
          <w:spacing w:val="-4"/>
        </w:rPr>
        <w:t> </w:t>
      </w:r>
      <w:r>
        <w:rPr/>
        <w:t>estos</w:t>
      </w:r>
      <w:r>
        <w:rPr>
          <w:spacing w:val="-8"/>
        </w:rPr>
        <w:t> </w:t>
      </w:r>
      <w:r>
        <w:rPr/>
        <w:t>se</w:t>
      </w:r>
      <w:r>
        <w:rPr>
          <w:spacing w:val="-12"/>
        </w:rPr>
        <w:t> </w:t>
      </w:r>
      <w:r>
        <w:rPr/>
        <w:t>encuentran</w:t>
      </w:r>
      <w:r>
        <w:rPr>
          <w:spacing w:val="-6"/>
        </w:rPr>
        <w:t> </w:t>
      </w:r>
      <w:r>
        <w:rPr/>
        <w:t>dispuestos</w:t>
      </w:r>
      <w:r>
        <w:rPr>
          <w:spacing w:val="-8"/>
        </w:rPr>
        <w:t> </w:t>
      </w:r>
      <w:r>
        <w:rPr/>
        <w:t>de</w:t>
      </w:r>
      <w:r>
        <w:rPr>
          <w:spacing w:val="-12"/>
        </w:rPr>
        <w:t> </w:t>
      </w:r>
      <w:r>
        <w:rPr/>
        <w:t>manera</w:t>
      </w:r>
      <w:r>
        <w:rPr>
          <w:spacing w:val="-7"/>
        </w:rPr>
        <w:t> </w:t>
      </w:r>
      <w:r>
        <w:rPr/>
        <w:t>horizontal,</w:t>
      </w:r>
      <w:r>
        <w:rPr>
          <w:spacing w:val="-8"/>
        </w:rPr>
        <w:t> </w:t>
      </w:r>
      <w:r>
        <w:rPr/>
        <w:t>por</w:t>
      </w:r>
      <w:r>
        <w:rPr>
          <w:spacing w:val="-9"/>
        </w:rPr>
        <w:t> </w:t>
      </w:r>
      <w:r>
        <w:rPr/>
        <w:t>lo</w:t>
      </w:r>
      <w:r>
        <w:rPr>
          <w:spacing w:val="-10"/>
        </w:rPr>
        <w:t> </w:t>
      </w:r>
      <w:r>
        <w:rPr/>
        <w:t>tanto,</w:t>
      </w:r>
      <w:r>
        <w:rPr>
          <w:spacing w:val="-8"/>
        </w:rPr>
        <w:t> </w:t>
      </w:r>
      <w:r>
        <w:rPr/>
        <w:t>en</w:t>
      </w:r>
      <w:r>
        <w:rPr>
          <w:spacing w:val="-10"/>
        </w:rPr>
        <w:t> </w:t>
      </w:r>
      <w:r>
        <w:rPr/>
        <w:t>la</w:t>
      </w:r>
      <w:r>
        <w:rPr>
          <w:spacing w:val="-6"/>
        </w:rPr>
        <w:t> </w:t>
      </w:r>
      <w:r>
        <w:rPr/>
        <w:t>línea GC-1 se muestran coloreados con verde y representados con PS1 los pocillos que contienen las</w:t>
      </w:r>
      <w:r>
        <w:rPr>
          <w:spacing w:val="-3"/>
        </w:rPr>
        <w:t> </w:t>
      </w:r>
      <w:r>
        <w:rPr/>
        <w:t>células</w:t>
      </w:r>
      <w:r>
        <w:rPr>
          <w:spacing w:val="-2"/>
        </w:rPr>
        <w:t> </w:t>
      </w:r>
      <w:r>
        <w:rPr/>
        <w:t>en</w:t>
      </w:r>
      <w:r>
        <w:rPr>
          <w:spacing w:val="-5"/>
        </w:rPr>
        <w:t> </w:t>
      </w:r>
      <w:r>
        <w:rPr/>
        <w:t>las</w:t>
      </w:r>
      <w:r>
        <w:rPr>
          <w:spacing w:val="-3"/>
        </w:rPr>
        <w:t> </w:t>
      </w:r>
      <w:r>
        <w:rPr/>
        <w:t>que</w:t>
      </w:r>
      <w:r>
        <w:rPr>
          <w:spacing w:val="-6"/>
        </w:rPr>
        <w:t> </w:t>
      </w:r>
      <w:r>
        <w:rPr/>
        <w:t>fue</w:t>
      </w:r>
      <w:r>
        <w:rPr>
          <w:spacing w:val="-5"/>
        </w:rPr>
        <w:t> </w:t>
      </w:r>
      <w:r>
        <w:rPr/>
        <w:t>eliminado</w:t>
      </w:r>
      <w:r>
        <w:rPr>
          <w:spacing w:val="-5"/>
        </w:rPr>
        <w:t> </w:t>
      </w:r>
      <w:r>
        <w:rPr/>
        <w:t>el</w:t>
      </w:r>
      <w:r>
        <w:rPr>
          <w:spacing w:val="-5"/>
        </w:rPr>
        <w:t> </w:t>
      </w:r>
      <w:r>
        <w:rPr/>
        <w:t>promotor</w:t>
      </w:r>
      <w:r>
        <w:rPr>
          <w:spacing w:val="-3"/>
        </w:rPr>
        <w:t> </w:t>
      </w:r>
      <w:r>
        <w:rPr/>
        <w:t>del pseudogen </w:t>
      </w:r>
      <w:r>
        <w:rPr>
          <w:spacing w:val="-3"/>
        </w:rPr>
        <w:t>1.</w:t>
      </w:r>
      <w:r>
        <w:rPr>
          <w:spacing w:val="4"/>
        </w:rPr>
        <w:t> </w:t>
      </w:r>
      <w:r>
        <w:rPr>
          <w:rFonts w:ascii="Arial" w:hAnsi="Arial"/>
          <w:sz w:val="22"/>
        </w:rPr>
        <w:t>Los</w:t>
      </w:r>
      <w:r>
        <w:rPr>
          <w:rFonts w:ascii="Arial" w:hAnsi="Arial"/>
          <w:spacing w:val="-6"/>
          <w:sz w:val="22"/>
        </w:rPr>
        <w:t> </w:t>
      </w:r>
      <w:r>
        <w:rPr>
          <w:rFonts w:ascii="Arial" w:hAnsi="Arial"/>
          <w:sz w:val="22"/>
        </w:rPr>
        <w:t>pocillos</w:t>
      </w:r>
      <w:r>
        <w:rPr>
          <w:rFonts w:ascii="Arial" w:hAnsi="Arial"/>
          <w:spacing w:val="-3"/>
          <w:sz w:val="22"/>
        </w:rPr>
        <w:t> </w:t>
      </w:r>
      <w:r>
        <w:rPr/>
        <w:t>que</w:t>
      </w:r>
      <w:r>
        <w:rPr>
          <w:spacing w:val="-6"/>
        </w:rPr>
        <w:t> </w:t>
      </w:r>
      <w:r>
        <w:rPr/>
        <w:t>contienen</w:t>
      </w:r>
    </w:p>
    <w:p>
      <w:pPr>
        <w:spacing w:after="0" w:line="360" w:lineRule="auto"/>
        <w:jc w:val="both"/>
        <w:sectPr>
          <w:pgSz w:w="12240" w:h="15840"/>
          <w:pgMar w:header="7" w:footer="0" w:top="1040" w:bottom="280" w:left="1580" w:right="360"/>
        </w:sectPr>
      </w:pPr>
    </w:p>
    <w:p>
      <w:pPr>
        <w:pStyle w:val="BodyText"/>
        <w:spacing w:line="360" w:lineRule="auto" w:before="80"/>
        <w:ind w:left="119" w:right="1336"/>
        <w:jc w:val="both"/>
      </w:pPr>
      <w:r>
        <w:rPr/>
        <w:t>los signos (+) y (-) corresponden a los controles de edición positivo y negativo respectivamente. De la misma manera se disponen las líneas GC-2 en donde se eliminó el promotor del pseudogen 3 (en color amarillo), y en la línea 3T3 en donde se eliminó el promotor</w:t>
      </w:r>
      <w:r>
        <w:rPr>
          <w:spacing w:val="-13"/>
        </w:rPr>
        <w:t> </w:t>
      </w:r>
      <w:r>
        <w:rPr/>
        <w:t>del</w:t>
      </w:r>
      <w:r>
        <w:rPr>
          <w:spacing w:val="-19"/>
        </w:rPr>
        <w:t> </w:t>
      </w:r>
      <w:r>
        <w:rPr/>
        <w:t>pseudogen</w:t>
      </w:r>
      <w:r>
        <w:rPr>
          <w:spacing w:val="-14"/>
        </w:rPr>
        <w:t> </w:t>
      </w:r>
      <w:r>
        <w:rPr/>
        <w:t>2</w:t>
      </w:r>
      <w:r>
        <w:rPr>
          <w:spacing w:val="-14"/>
        </w:rPr>
        <w:t> </w:t>
      </w:r>
      <w:r>
        <w:rPr/>
        <w:t>(en</w:t>
      </w:r>
      <w:r>
        <w:rPr>
          <w:spacing w:val="-18"/>
        </w:rPr>
        <w:t> </w:t>
      </w:r>
      <w:r>
        <w:rPr/>
        <w:t>color</w:t>
      </w:r>
      <w:r>
        <w:rPr>
          <w:spacing w:val="-17"/>
        </w:rPr>
        <w:t> </w:t>
      </w:r>
      <w:r>
        <w:rPr/>
        <w:t>rojo).</w:t>
      </w:r>
      <w:r>
        <w:rPr>
          <w:spacing w:val="-12"/>
        </w:rPr>
        <w:t> </w:t>
      </w:r>
      <w:r>
        <w:rPr/>
        <w:t>Por</w:t>
      </w:r>
      <w:r>
        <w:rPr>
          <w:spacing w:val="-13"/>
        </w:rPr>
        <w:t> </w:t>
      </w:r>
      <w:r>
        <w:rPr/>
        <w:t>último,</w:t>
      </w:r>
      <w:r>
        <w:rPr>
          <w:spacing w:val="-12"/>
        </w:rPr>
        <w:t> </w:t>
      </w:r>
      <w:r>
        <w:rPr/>
        <w:t>los</w:t>
      </w:r>
      <w:r>
        <w:rPr>
          <w:spacing w:val="-16"/>
        </w:rPr>
        <w:t> </w:t>
      </w:r>
      <w:r>
        <w:rPr/>
        <w:t>círculos</w:t>
      </w:r>
      <w:r>
        <w:rPr>
          <w:spacing w:val="-16"/>
        </w:rPr>
        <w:t> </w:t>
      </w:r>
      <w:r>
        <w:rPr/>
        <w:t>de</w:t>
      </w:r>
      <w:r>
        <w:rPr>
          <w:spacing w:val="-19"/>
        </w:rPr>
        <w:t> </w:t>
      </w:r>
      <w:r>
        <w:rPr/>
        <w:t>color</w:t>
      </w:r>
      <w:r>
        <w:rPr>
          <w:spacing w:val="-13"/>
        </w:rPr>
        <w:t> </w:t>
      </w:r>
      <w:r>
        <w:rPr/>
        <w:t>celeste</w:t>
      </w:r>
      <w:r>
        <w:rPr>
          <w:spacing w:val="-15"/>
        </w:rPr>
        <w:t> </w:t>
      </w:r>
      <w:r>
        <w:rPr/>
        <w:t>representan los pocillos que contienen las líneas celulares sembradas que no fueron sometidas a edición genómica que sirvieron como medio de control para la selección de las colonias mediante puromicina.</w:t>
      </w:r>
    </w:p>
    <w:p>
      <w:pPr>
        <w:pStyle w:val="BodyText"/>
        <w:rPr>
          <w:sz w:val="26"/>
        </w:rPr>
      </w:pPr>
    </w:p>
    <w:p>
      <w:pPr>
        <w:pStyle w:val="BodyText"/>
        <w:rPr>
          <w:sz w:val="26"/>
        </w:rPr>
      </w:pPr>
    </w:p>
    <w:p>
      <w:pPr>
        <w:pStyle w:val="ListParagraph"/>
        <w:numPr>
          <w:ilvl w:val="1"/>
          <w:numId w:val="7"/>
        </w:numPr>
        <w:tabs>
          <w:tab w:pos="484" w:val="left" w:leader="none"/>
        </w:tabs>
        <w:spacing w:line="240" w:lineRule="auto" w:before="230" w:after="0"/>
        <w:ind w:left="484" w:right="0" w:hanging="365"/>
        <w:jc w:val="left"/>
        <w:rPr>
          <w:b/>
          <w:sz w:val="24"/>
        </w:rPr>
      </w:pPr>
      <w:bookmarkStart w:name="_TOC_250004" w:id="26"/>
      <w:r>
        <w:rPr>
          <w:b/>
          <w:sz w:val="24"/>
        </w:rPr>
        <w:t>Selección de colonias editadas a través de dilución</w:t>
      </w:r>
      <w:r>
        <w:rPr>
          <w:b/>
          <w:spacing w:val="4"/>
          <w:sz w:val="24"/>
        </w:rPr>
        <w:t> </w:t>
      </w:r>
      <w:bookmarkEnd w:id="26"/>
      <w:r>
        <w:rPr>
          <w:b/>
          <w:sz w:val="24"/>
        </w:rPr>
        <w:t>límite.</w:t>
      </w:r>
    </w:p>
    <w:p>
      <w:pPr>
        <w:pStyle w:val="BodyText"/>
        <w:rPr>
          <w:b/>
          <w:sz w:val="26"/>
        </w:rPr>
      </w:pPr>
    </w:p>
    <w:p>
      <w:pPr>
        <w:pStyle w:val="BodyText"/>
        <w:spacing w:before="3"/>
        <w:rPr>
          <w:b/>
          <w:sz w:val="22"/>
        </w:rPr>
      </w:pPr>
    </w:p>
    <w:p>
      <w:pPr>
        <w:pStyle w:val="BodyText"/>
        <w:spacing w:line="360" w:lineRule="auto"/>
        <w:ind w:left="119" w:right="1367" w:firstLine="302"/>
      </w:pPr>
      <w:r>
        <w:rPr/>
        <w:t>Las líneas celulares fueron transfectadas y posteriormente tratadas con puromicina con el fin de seleccionar solo aquellas que integraron el plásmido, posterior a esto y a través del protocolo de dilución límite de addgene (</w:t>
      </w:r>
      <w:r>
        <w:rPr>
          <w:i/>
        </w:rPr>
        <w:t>Addgene: Isolating a Monoclonal Cell Population </w:t>
      </w:r>
      <w:r>
        <w:rPr>
          <w:i/>
        </w:rPr>
        <w:t>by Limiting Dilution</w:t>
      </w:r>
      <w:r>
        <w:rPr/>
        <w:t>, s. f.), se hicieron crecer células aisladas en placas de 96 pocillos, estas se observaron bajo el microscopio a los 7 y 14 días y fueron seleccionadas para mantener en crecimiento solo las colonias que habían crecido a partir de una sola célula, como lo ejemplifica la siguiente</w:t>
      </w:r>
      <w:r>
        <w:rPr>
          <w:spacing w:val="1"/>
        </w:rPr>
        <w:t> </w:t>
      </w:r>
      <w:r>
        <w:rPr/>
        <w:t>microfotografía:</w:t>
      </w:r>
    </w:p>
    <w:p>
      <w:pPr>
        <w:spacing w:after="0" w:line="360" w:lineRule="auto"/>
        <w:sectPr>
          <w:pgSz w:w="12240" w:h="15840"/>
          <w:pgMar w:header="7" w:footer="0" w:top="1040" w:bottom="280" w:left="1580" w:right="360"/>
        </w:sectPr>
      </w:pPr>
    </w:p>
    <w:p>
      <w:pPr>
        <w:pStyle w:val="BodyText"/>
        <w:spacing w:before="10"/>
        <w:rPr>
          <w:sz w:val="6"/>
        </w:rPr>
      </w:pPr>
    </w:p>
    <w:p>
      <w:pPr>
        <w:pStyle w:val="BodyText"/>
        <w:ind w:left="1021"/>
        <w:rPr>
          <w:sz w:val="20"/>
        </w:rPr>
      </w:pPr>
      <w:r>
        <w:rPr>
          <w:sz w:val="20"/>
        </w:rPr>
        <w:drawing>
          <wp:inline distT="0" distB="0" distL="0" distR="0">
            <wp:extent cx="4569907" cy="3328416"/>
            <wp:effectExtent l="0" t="0" r="0" b="0"/>
            <wp:docPr id="21" name="image11.jpeg"/>
            <wp:cNvGraphicFramePr>
              <a:graphicFrameLocks noChangeAspect="1"/>
            </wp:cNvGraphicFramePr>
            <a:graphic>
              <a:graphicData uri="http://schemas.openxmlformats.org/drawingml/2006/picture">
                <pic:pic>
                  <pic:nvPicPr>
                    <pic:cNvPr id="22" name="image11.jpeg"/>
                    <pic:cNvPicPr/>
                  </pic:nvPicPr>
                  <pic:blipFill>
                    <a:blip r:embed="rId18" cstate="print"/>
                    <a:stretch>
                      <a:fillRect/>
                    </a:stretch>
                  </pic:blipFill>
                  <pic:spPr>
                    <a:xfrm>
                      <a:off x="0" y="0"/>
                      <a:ext cx="4569907" cy="3328416"/>
                    </a:xfrm>
                    <a:prstGeom prst="rect">
                      <a:avLst/>
                    </a:prstGeom>
                  </pic:spPr>
                </pic:pic>
              </a:graphicData>
            </a:graphic>
          </wp:inline>
        </w:drawing>
      </w:r>
      <w:r>
        <w:rPr>
          <w:sz w:val="20"/>
        </w:rPr>
      </w:r>
    </w:p>
    <w:p>
      <w:pPr>
        <w:pStyle w:val="BodyText"/>
        <w:spacing w:line="362" w:lineRule="auto" w:before="142"/>
        <w:ind w:left="119" w:right="1337"/>
        <w:jc w:val="both"/>
      </w:pPr>
      <w:r>
        <w:rPr>
          <w:i/>
        </w:rPr>
        <w:t>Figura.4.6. </w:t>
      </w:r>
      <w:r>
        <w:rPr/>
        <w:t>Microfotografía que muestra el borde de un pocillo de una placa de 96 visto en el</w:t>
      </w:r>
      <w:r>
        <w:rPr>
          <w:spacing w:val="-9"/>
        </w:rPr>
        <w:t> </w:t>
      </w:r>
      <w:r>
        <w:rPr/>
        <w:t>microscopio</w:t>
      </w:r>
      <w:r>
        <w:rPr>
          <w:spacing w:val="-9"/>
        </w:rPr>
        <w:t> </w:t>
      </w:r>
      <w:r>
        <w:rPr/>
        <w:t>óptico</w:t>
      </w:r>
      <w:r>
        <w:rPr>
          <w:spacing w:val="-9"/>
        </w:rPr>
        <w:t> </w:t>
      </w:r>
      <w:r>
        <w:rPr/>
        <w:t>bajo</w:t>
      </w:r>
      <w:r>
        <w:rPr>
          <w:spacing w:val="-9"/>
        </w:rPr>
        <w:t> </w:t>
      </w:r>
      <w:r>
        <w:rPr/>
        <w:t>un</w:t>
      </w:r>
      <w:r>
        <w:rPr>
          <w:spacing w:val="-10"/>
        </w:rPr>
        <w:t> </w:t>
      </w:r>
      <w:r>
        <w:rPr/>
        <w:t>aumento</w:t>
      </w:r>
      <w:r>
        <w:rPr>
          <w:spacing w:val="-9"/>
        </w:rPr>
        <w:t> </w:t>
      </w:r>
      <w:r>
        <w:rPr/>
        <w:t>de</w:t>
      </w:r>
      <w:r>
        <w:rPr>
          <w:spacing w:val="-11"/>
        </w:rPr>
        <w:t> </w:t>
      </w:r>
      <w:r>
        <w:rPr/>
        <w:t>20X</w:t>
      </w:r>
      <w:r>
        <w:rPr>
          <w:spacing w:val="-9"/>
        </w:rPr>
        <w:t> </w:t>
      </w:r>
      <w:r>
        <w:rPr/>
        <w:t>en</w:t>
      </w:r>
      <w:r>
        <w:rPr>
          <w:spacing w:val="-10"/>
        </w:rPr>
        <w:t> </w:t>
      </w:r>
      <w:r>
        <w:rPr/>
        <w:t>donde,</w:t>
      </w:r>
      <w:r>
        <w:rPr>
          <w:spacing w:val="-8"/>
        </w:rPr>
        <w:t> </w:t>
      </w:r>
      <w:r>
        <w:rPr/>
        <w:t>marcada</w:t>
      </w:r>
      <w:r>
        <w:rPr>
          <w:spacing w:val="-10"/>
        </w:rPr>
        <w:t> </w:t>
      </w:r>
      <w:r>
        <w:rPr/>
        <w:t>y</w:t>
      </w:r>
      <w:r>
        <w:rPr>
          <w:spacing w:val="-10"/>
        </w:rPr>
        <w:t> </w:t>
      </w:r>
      <w:r>
        <w:rPr/>
        <w:t>delimitada</w:t>
      </w:r>
      <w:r>
        <w:rPr>
          <w:spacing w:val="-10"/>
        </w:rPr>
        <w:t> </w:t>
      </w:r>
      <w:r>
        <w:rPr/>
        <w:t>por</w:t>
      </w:r>
      <w:r>
        <w:rPr>
          <w:spacing w:val="-8"/>
        </w:rPr>
        <w:t> </w:t>
      </w:r>
      <w:r>
        <w:rPr/>
        <w:t>el</w:t>
      </w:r>
      <w:r>
        <w:rPr>
          <w:spacing w:val="-9"/>
        </w:rPr>
        <w:t> </w:t>
      </w:r>
      <w:r>
        <w:rPr/>
        <w:t>círculo amarillo se encuentra una colonia celular generada a partir de una sola</w:t>
      </w:r>
      <w:r>
        <w:rPr>
          <w:spacing w:val="-4"/>
        </w:rPr>
        <w:t> </w:t>
      </w:r>
      <w:r>
        <w:rPr/>
        <w:t>célula.</w:t>
      </w:r>
    </w:p>
    <w:p>
      <w:pPr>
        <w:pStyle w:val="BodyText"/>
        <w:rPr>
          <w:sz w:val="26"/>
        </w:rPr>
      </w:pPr>
    </w:p>
    <w:p>
      <w:pPr>
        <w:pStyle w:val="BodyText"/>
        <w:rPr>
          <w:sz w:val="26"/>
        </w:rPr>
      </w:pPr>
    </w:p>
    <w:p>
      <w:pPr>
        <w:spacing w:before="225"/>
        <w:ind w:left="119" w:right="0" w:firstLine="0"/>
        <w:jc w:val="both"/>
        <w:rPr>
          <w:i/>
          <w:sz w:val="24"/>
        </w:rPr>
      </w:pPr>
      <w:r>
        <w:rPr>
          <w:i/>
          <w:sz w:val="24"/>
        </w:rPr>
        <w:t>OE3: Comprobar la edición genómica mediante PCR</w:t>
      </w:r>
      <w:r>
        <w:rPr>
          <w:i/>
          <w:spacing w:val="-6"/>
          <w:sz w:val="24"/>
        </w:rPr>
        <w:t> </w:t>
      </w:r>
      <w:r>
        <w:rPr>
          <w:i/>
          <w:sz w:val="24"/>
        </w:rPr>
        <w:t>convencional.</w:t>
      </w:r>
    </w:p>
    <w:p>
      <w:pPr>
        <w:pStyle w:val="BodyText"/>
        <w:rPr>
          <w:i/>
          <w:sz w:val="26"/>
        </w:rPr>
      </w:pPr>
    </w:p>
    <w:p>
      <w:pPr>
        <w:pStyle w:val="BodyText"/>
        <w:spacing w:before="10"/>
        <w:rPr>
          <w:i/>
          <w:sz w:val="21"/>
        </w:rPr>
      </w:pPr>
    </w:p>
    <w:p>
      <w:pPr>
        <w:pStyle w:val="ListParagraph"/>
        <w:numPr>
          <w:ilvl w:val="1"/>
          <w:numId w:val="7"/>
        </w:numPr>
        <w:tabs>
          <w:tab w:pos="484" w:val="left" w:leader="none"/>
        </w:tabs>
        <w:spacing w:line="240" w:lineRule="auto" w:before="0" w:after="0"/>
        <w:ind w:left="484" w:right="0" w:hanging="365"/>
        <w:jc w:val="left"/>
        <w:rPr>
          <w:b/>
          <w:sz w:val="24"/>
        </w:rPr>
      </w:pPr>
      <w:bookmarkStart w:name="_TOC_250003" w:id="27"/>
      <w:r>
        <w:rPr>
          <w:b/>
          <w:sz w:val="24"/>
        </w:rPr>
        <w:t>Análisis de colonias para comprobar deleción</w:t>
      </w:r>
      <w:r>
        <w:rPr>
          <w:b/>
          <w:spacing w:val="-17"/>
          <w:sz w:val="24"/>
        </w:rPr>
        <w:t> </w:t>
      </w:r>
      <w:bookmarkEnd w:id="27"/>
      <w:r>
        <w:rPr>
          <w:b/>
          <w:sz w:val="24"/>
        </w:rPr>
        <w:t>genómica:</w:t>
      </w:r>
    </w:p>
    <w:p>
      <w:pPr>
        <w:pStyle w:val="BodyText"/>
        <w:rPr>
          <w:b/>
          <w:sz w:val="26"/>
        </w:rPr>
      </w:pPr>
    </w:p>
    <w:p>
      <w:pPr>
        <w:pStyle w:val="BodyText"/>
        <w:spacing w:before="2"/>
        <w:rPr>
          <w:b/>
          <w:sz w:val="22"/>
        </w:rPr>
      </w:pPr>
    </w:p>
    <w:p>
      <w:pPr>
        <w:pStyle w:val="BodyText"/>
        <w:spacing w:line="360" w:lineRule="auto"/>
        <w:ind w:left="119" w:right="1333" w:firstLine="302"/>
        <w:jc w:val="both"/>
      </w:pPr>
      <w:r>
        <w:rPr/>
        <w:t>A continuación, se presentan tablas con los datos correspondientes a cada par de primers utilizados para flanquear la zona de corte realizada por CRISPR, con el fin de comprobar si la</w:t>
      </w:r>
      <w:r>
        <w:rPr>
          <w:spacing w:val="-10"/>
        </w:rPr>
        <w:t> </w:t>
      </w:r>
      <w:r>
        <w:rPr/>
        <w:t>edición</w:t>
      </w:r>
      <w:r>
        <w:rPr>
          <w:spacing w:val="-10"/>
        </w:rPr>
        <w:t> </w:t>
      </w:r>
      <w:r>
        <w:rPr/>
        <w:t>ocurrió</w:t>
      </w:r>
      <w:r>
        <w:rPr>
          <w:spacing w:val="-14"/>
        </w:rPr>
        <w:t> </w:t>
      </w:r>
      <w:r>
        <w:rPr/>
        <w:t>de</w:t>
      </w:r>
      <w:r>
        <w:rPr>
          <w:spacing w:val="-11"/>
        </w:rPr>
        <w:t> </w:t>
      </w:r>
      <w:r>
        <w:rPr/>
        <w:t>la</w:t>
      </w:r>
      <w:r>
        <w:rPr>
          <w:spacing w:val="-10"/>
        </w:rPr>
        <w:t> </w:t>
      </w:r>
      <w:r>
        <w:rPr/>
        <w:t>manera</w:t>
      </w:r>
      <w:r>
        <w:rPr>
          <w:spacing w:val="-15"/>
        </w:rPr>
        <w:t> </w:t>
      </w:r>
      <w:r>
        <w:rPr/>
        <w:t>esperada.</w:t>
      </w:r>
      <w:r>
        <w:rPr>
          <w:spacing w:val="-8"/>
        </w:rPr>
        <w:t> </w:t>
      </w:r>
      <w:r>
        <w:rPr/>
        <w:t>Se</w:t>
      </w:r>
      <w:r>
        <w:rPr>
          <w:spacing w:val="-11"/>
        </w:rPr>
        <w:t> </w:t>
      </w:r>
      <w:r>
        <w:rPr/>
        <w:t>indica</w:t>
      </w:r>
      <w:r>
        <w:rPr>
          <w:spacing w:val="-16"/>
        </w:rPr>
        <w:t> </w:t>
      </w:r>
      <w:r>
        <w:rPr/>
        <w:t>la</w:t>
      </w:r>
      <w:r>
        <w:rPr>
          <w:spacing w:val="-10"/>
        </w:rPr>
        <w:t> </w:t>
      </w:r>
      <w:r>
        <w:rPr/>
        <w:t>secuencia</w:t>
      </w:r>
      <w:r>
        <w:rPr>
          <w:spacing w:val="-10"/>
        </w:rPr>
        <w:t> </w:t>
      </w:r>
      <w:r>
        <w:rPr/>
        <w:t>forward,</w:t>
      </w:r>
      <w:r>
        <w:rPr>
          <w:spacing w:val="-8"/>
        </w:rPr>
        <w:t> </w:t>
      </w:r>
      <w:r>
        <w:rPr>
          <w:spacing w:val="3"/>
        </w:rPr>
        <w:t>la</w:t>
      </w:r>
      <w:r>
        <w:rPr>
          <w:spacing w:val="-15"/>
        </w:rPr>
        <w:t> </w:t>
      </w:r>
      <w:r>
        <w:rPr/>
        <w:t>secuencia</w:t>
      </w:r>
      <w:r>
        <w:rPr>
          <w:spacing w:val="-10"/>
        </w:rPr>
        <w:t> </w:t>
      </w:r>
      <w:r>
        <w:rPr/>
        <w:t>reverse y el tamaño teórico del producto de PCR que debería aparecer. Las figuras 4.11 y 4.12 corresponden a los geles de electroforesis realizados a partir de los productos PCR. En ellos se comprueba la edición genómica por la presencia de los amplicones de menor</w:t>
      </w:r>
      <w:r>
        <w:rPr>
          <w:spacing w:val="-3"/>
        </w:rPr>
        <w:t> </w:t>
      </w:r>
      <w:r>
        <w:rPr/>
        <w:t>tamaño.</w:t>
      </w:r>
    </w:p>
    <w:p>
      <w:pPr>
        <w:spacing w:after="0" w:line="360" w:lineRule="auto"/>
        <w:jc w:val="both"/>
        <w:sectPr>
          <w:pgSz w:w="12240" w:h="15840"/>
          <w:pgMar w:header="7" w:footer="0" w:top="1040" w:bottom="280" w:left="1580" w:right="360"/>
        </w:sectPr>
      </w:pPr>
    </w:p>
    <w:p>
      <w:pPr>
        <w:pStyle w:val="BodyText"/>
        <w:rPr>
          <w:sz w:val="20"/>
        </w:rPr>
      </w:pPr>
    </w:p>
    <w:p>
      <w:pPr>
        <w:pStyle w:val="BodyText"/>
        <w:spacing w:before="11"/>
        <w:rPr>
          <w:sz w:val="21"/>
        </w:rPr>
      </w:pPr>
    </w:p>
    <w:p>
      <w:pPr>
        <w:pStyle w:val="BodyText"/>
        <w:ind w:left="1027"/>
        <w:rPr>
          <w:sz w:val="20"/>
        </w:rPr>
      </w:pPr>
      <w:r>
        <w:rPr>
          <w:sz w:val="20"/>
        </w:rPr>
        <w:drawing>
          <wp:inline distT="0" distB="0" distL="0" distR="0">
            <wp:extent cx="4675472" cy="3464433"/>
            <wp:effectExtent l="0" t="0" r="0" b="0"/>
            <wp:docPr id="23" name="image12.jpeg"/>
            <wp:cNvGraphicFramePr>
              <a:graphicFrameLocks noChangeAspect="1"/>
            </wp:cNvGraphicFramePr>
            <a:graphic>
              <a:graphicData uri="http://schemas.openxmlformats.org/drawingml/2006/picture">
                <pic:pic>
                  <pic:nvPicPr>
                    <pic:cNvPr id="24" name="image12.jpeg"/>
                    <pic:cNvPicPr/>
                  </pic:nvPicPr>
                  <pic:blipFill>
                    <a:blip r:embed="rId19" cstate="print"/>
                    <a:stretch>
                      <a:fillRect/>
                    </a:stretch>
                  </pic:blipFill>
                  <pic:spPr>
                    <a:xfrm>
                      <a:off x="0" y="0"/>
                      <a:ext cx="4675472" cy="3464433"/>
                    </a:xfrm>
                    <a:prstGeom prst="rect">
                      <a:avLst/>
                    </a:prstGeom>
                  </pic:spPr>
                </pic:pic>
              </a:graphicData>
            </a:graphic>
          </wp:inline>
        </w:drawing>
      </w:r>
      <w:r>
        <w:rPr>
          <w:sz w:val="20"/>
        </w:rPr>
      </w:r>
    </w:p>
    <w:p>
      <w:pPr>
        <w:pStyle w:val="BodyText"/>
        <w:rPr>
          <w:sz w:val="20"/>
        </w:rPr>
      </w:pPr>
    </w:p>
    <w:p>
      <w:pPr>
        <w:pStyle w:val="BodyText"/>
        <w:spacing w:before="9"/>
        <w:rPr>
          <w:sz w:val="29"/>
        </w:rPr>
      </w:pPr>
    </w:p>
    <w:p>
      <w:pPr>
        <w:pStyle w:val="BodyText"/>
        <w:spacing w:line="360" w:lineRule="auto" w:before="90"/>
        <w:ind w:left="119" w:right="1333"/>
        <w:jc w:val="both"/>
      </w:pPr>
      <w:r>
        <w:rPr/>
        <w:t>Figura.4.7. </w:t>
      </w:r>
      <w:r>
        <w:rPr>
          <w:i/>
        </w:rPr>
        <w:t>Corte por Cas9 y reparación del DNA por NHEJ. </w:t>
      </w:r>
      <w:r>
        <w:rPr/>
        <w:t>En esta figura se representa la acción de la enzima Cas9 cortando a ambos lados de la caja TATA del promotor del pseudogen 2, el que se eligió como ejemplo por su mayor cantidad de pares de bases eliminadas. 1) Se señala la región de 7235 pb establecida por la distancia entre los sitios elegidos para diseño de los RNAs guía y que contiene la caja tata de la región promotora. 2) La</w:t>
      </w:r>
      <w:r>
        <w:rPr>
          <w:spacing w:val="-6"/>
        </w:rPr>
        <w:t> </w:t>
      </w:r>
      <w:r>
        <w:rPr/>
        <w:t>enzima</w:t>
      </w:r>
      <w:r>
        <w:rPr>
          <w:spacing w:val="-5"/>
        </w:rPr>
        <w:t> </w:t>
      </w:r>
      <w:r>
        <w:rPr/>
        <w:t>Cas9</w:t>
      </w:r>
      <w:r>
        <w:rPr>
          <w:spacing w:val="-4"/>
        </w:rPr>
        <w:t> </w:t>
      </w:r>
      <w:r>
        <w:rPr/>
        <w:t>corta</w:t>
      </w:r>
      <w:r>
        <w:rPr>
          <w:spacing w:val="-3"/>
        </w:rPr>
        <w:t> </w:t>
      </w:r>
      <w:r>
        <w:rPr/>
        <w:t>a</w:t>
      </w:r>
      <w:r>
        <w:rPr>
          <w:spacing w:val="-6"/>
        </w:rPr>
        <w:t> </w:t>
      </w:r>
      <w:r>
        <w:rPr/>
        <w:t>ambos</w:t>
      </w:r>
      <w:r>
        <w:rPr>
          <w:spacing w:val="-6"/>
        </w:rPr>
        <w:t> </w:t>
      </w:r>
      <w:r>
        <w:rPr/>
        <w:t>lados</w:t>
      </w:r>
      <w:r>
        <w:rPr>
          <w:spacing w:val="-6"/>
        </w:rPr>
        <w:t> </w:t>
      </w:r>
      <w:r>
        <w:rPr/>
        <w:t>de</w:t>
      </w:r>
      <w:r>
        <w:rPr>
          <w:spacing w:val="-5"/>
        </w:rPr>
        <w:t> </w:t>
      </w:r>
      <w:r>
        <w:rPr/>
        <w:t>la</w:t>
      </w:r>
      <w:r>
        <w:rPr>
          <w:spacing w:val="-5"/>
        </w:rPr>
        <w:t> </w:t>
      </w:r>
      <w:r>
        <w:rPr/>
        <w:t>región</w:t>
      </w:r>
      <w:r>
        <w:rPr>
          <w:spacing w:val="-3"/>
        </w:rPr>
        <w:t> </w:t>
      </w:r>
      <w:r>
        <w:rPr/>
        <w:t>y</w:t>
      </w:r>
      <w:r>
        <w:rPr>
          <w:spacing w:val="-3"/>
        </w:rPr>
        <w:t> </w:t>
      </w:r>
      <w:r>
        <w:rPr/>
        <w:t>el</w:t>
      </w:r>
      <w:r>
        <w:rPr>
          <w:spacing w:val="-3"/>
        </w:rPr>
        <w:t> </w:t>
      </w:r>
      <w:r>
        <w:rPr/>
        <w:t>fragmento</w:t>
      </w:r>
      <w:r>
        <w:rPr>
          <w:spacing w:val="-5"/>
        </w:rPr>
        <w:t> </w:t>
      </w:r>
      <w:r>
        <w:rPr/>
        <w:t>escindido</w:t>
      </w:r>
      <w:r>
        <w:rPr>
          <w:spacing w:val="-4"/>
        </w:rPr>
        <w:t> </w:t>
      </w:r>
      <w:r>
        <w:rPr/>
        <w:t>es</w:t>
      </w:r>
      <w:r>
        <w:rPr>
          <w:spacing w:val="-6"/>
        </w:rPr>
        <w:t> </w:t>
      </w:r>
      <w:r>
        <w:rPr/>
        <w:t>posteriormente degradado por la célula. 3) Ambos extremos </w:t>
      </w:r>
      <w:r>
        <w:rPr>
          <w:spacing w:val="-3"/>
        </w:rPr>
        <w:t>de </w:t>
      </w:r>
      <w:r>
        <w:rPr/>
        <w:t>la secuencia ahora son unidos por el mecanismo de reparación celular de unión de extremos no homólogos (NHEJ). </w:t>
      </w:r>
      <w:r>
        <w:rPr>
          <w:spacing w:val="-3"/>
        </w:rPr>
        <w:t>4) </w:t>
      </w:r>
      <w:r>
        <w:rPr/>
        <w:t>Los primers diseñados inicialmente en posiciones flanqueantes de ambos cortes de Cas9 generarán</w:t>
      </w:r>
      <w:r>
        <w:rPr>
          <w:spacing w:val="-4"/>
        </w:rPr>
        <w:t> </w:t>
      </w:r>
      <w:r>
        <w:rPr/>
        <w:t>un</w:t>
      </w:r>
      <w:r>
        <w:rPr>
          <w:spacing w:val="-4"/>
        </w:rPr>
        <w:t> </w:t>
      </w:r>
      <w:r>
        <w:rPr/>
        <w:t>amplicón</w:t>
      </w:r>
      <w:r>
        <w:rPr>
          <w:spacing w:val="-4"/>
        </w:rPr>
        <w:t> </w:t>
      </w:r>
      <w:r>
        <w:rPr/>
        <w:t>de</w:t>
      </w:r>
      <w:r>
        <w:rPr>
          <w:spacing w:val="-5"/>
        </w:rPr>
        <w:t> </w:t>
      </w:r>
      <w:r>
        <w:rPr/>
        <w:t>466</w:t>
      </w:r>
      <w:r>
        <w:rPr>
          <w:spacing w:val="-2"/>
        </w:rPr>
        <w:t> </w:t>
      </w:r>
      <w:r>
        <w:rPr/>
        <w:t>pb</w:t>
      </w:r>
      <w:r>
        <w:rPr>
          <w:spacing w:val="-9"/>
        </w:rPr>
        <w:t> </w:t>
      </w:r>
      <w:r>
        <w:rPr/>
        <w:t>en</w:t>
      </w:r>
      <w:r>
        <w:rPr>
          <w:spacing w:val="-4"/>
        </w:rPr>
        <w:t> </w:t>
      </w:r>
      <w:r>
        <w:rPr/>
        <w:t>los</w:t>
      </w:r>
      <w:r>
        <w:rPr>
          <w:spacing w:val="-6"/>
        </w:rPr>
        <w:t> </w:t>
      </w:r>
      <w:r>
        <w:rPr/>
        <w:t>casos</w:t>
      </w:r>
      <w:r>
        <w:rPr>
          <w:spacing w:val="-6"/>
        </w:rPr>
        <w:t> </w:t>
      </w:r>
      <w:r>
        <w:rPr/>
        <w:t>en</w:t>
      </w:r>
      <w:r>
        <w:rPr>
          <w:spacing w:val="-4"/>
        </w:rPr>
        <w:t> </w:t>
      </w:r>
      <w:r>
        <w:rPr/>
        <w:t>que</w:t>
      </w:r>
      <w:r>
        <w:rPr>
          <w:spacing w:val="-5"/>
        </w:rPr>
        <w:t> </w:t>
      </w:r>
      <w:r>
        <w:rPr/>
        <w:t>se</w:t>
      </w:r>
      <w:r>
        <w:rPr>
          <w:spacing w:val="-5"/>
        </w:rPr>
        <w:t> </w:t>
      </w:r>
      <w:r>
        <w:rPr/>
        <w:t>produzca</w:t>
      </w:r>
      <w:r>
        <w:rPr>
          <w:spacing w:val="-5"/>
        </w:rPr>
        <w:t> </w:t>
      </w:r>
      <w:r>
        <w:rPr/>
        <w:t>la</w:t>
      </w:r>
      <w:r>
        <w:rPr>
          <w:spacing w:val="-4"/>
        </w:rPr>
        <w:t> </w:t>
      </w:r>
      <w:r>
        <w:rPr/>
        <w:t>edición,</w:t>
      </w:r>
      <w:r>
        <w:rPr>
          <w:spacing w:val="-2"/>
        </w:rPr>
        <w:t> </w:t>
      </w:r>
      <w:r>
        <w:rPr/>
        <w:t>a</w:t>
      </w:r>
      <w:r>
        <w:rPr>
          <w:spacing w:val="-5"/>
        </w:rPr>
        <w:t> </w:t>
      </w:r>
      <w:r>
        <w:rPr/>
        <w:t>diferencia</w:t>
      </w:r>
      <w:r>
        <w:rPr>
          <w:spacing w:val="-4"/>
        </w:rPr>
        <w:t> </w:t>
      </w:r>
      <w:r>
        <w:rPr/>
        <w:t>del tamaño no editado que sería de 7235 pb, por tanto, no</w:t>
      </w:r>
      <w:r>
        <w:rPr>
          <w:spacing w:val="6"/>
        </w:rPr>
        <w:t> </w:t>
      </w:r>
      <w:r>
        <w:rPr/>
        <w:t>amplificable.</w:t>
      </w:r>
    </w:p>
    <w:p>
      <w:pPr>
        <w:spacing w:after="0" w:line="360" w:lineRule="auto"/>
        <w:jc w:val="both"/>
        <w:sectPr>
          <w:pgSz w:w="12240" w:h="15840"/>
          <w:pgMar w:header="7" w:footer="0" w:top="1040" w:bottom="280" w:left="1580" w:right="360"/>
        </w:sectPr>
      </w:pPr>
    </w:p>
    <w:p>
      <w:pPr>
        <w:pStyle w:val="BodyText"/>
        <w:spacing w:before="80"/>
        <w:ind w:left="1725" w:right="2939"/>
        <w:jc w:val="center"/>
      </w:pPr>
      <w:r>
        <w:rPr>
          <w:color w:val="212121"/>
        </w:rPr>
        <w:t>Tabla</w:t>
      </w:r>
      <w:r>
        <w:rPr>
          <w:color w:val="212121"/>
          <w:spacing w:val="3"/>
        </w:rPr>
        <w:t> </w:t>
      </w:r>
      <w:r>
        <w:rPr>
          <w:color w:val="212121"/>
        </w:rPr>
        <w:t>4.8</w:t>
      </w:r>
    </w:p>
    <w:p>
      <w:pPr>
        <w:pStyle w:val="BodyText"/>
        <w:spacing w:before="6"/>
        <w:rPr>
          <w:sz w:val="15"/>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84"/>
        <w:gridCol w:w="4989"/>
      </w:tblGrid>
      <w:tr>
        <w:trPr>
          <w:trHeight w:val="474" w:hRule="atLeast"/>
        </w:trPr>
        <w:tc>
          <w:tcPr>
            <w:tcW w:w="4984" w:type="dxa"/>
          </w:tcPr>
          <w:p>
            <w:pPr>
              <w:pStyle w:val="TableParagraph"/>
              <w:spacing w:before="97"/>
              <w:ind w:left="574" w:right="556"/>
              <w:jc w:val="center"/>
              <w:rPr>
                <w:rFonts w:ascii="Times New Roman" w:hAnsi="Times New Roman"/>
                <w:sz w:val="24"/>
              </w:rPr>
            </w:pPr>
            <w:r>
              <w:rPr>
                <w:rFonts w:ascii="Times New Roman" w:hAnsi="Times New Roman"/>
                <w:color w:val="212121"/>
                <w:sz w:val="24"/>
              </w:rPr>
              <w:t>Primers de comprobación pseudogen 1.</w:t>
            </w:r>
          </w:p>
        </w:tc>
        <w:tc>
          <w:tcPr>
            <w:tcW w:w="4989" w:type="dxa"/>
          </w:tcPr>
          <w:p>
            <w:pPr>
              <w:pStyle w:val="TableParagraph"/>
              <w:spacing w:before="97"/>
              <w:ind w:left="669" w:right="644"/>
              <w:jc w:val="center"/>
              <w:rPr>
                <w:rFonts w:ascii="Times New Roman" w:hAnsi="Times New Roman"/>
                <w:sz w:val="24"/>
              </w:rPr>
            </w:pPr>
            <w:r>
              <w:rPr>
                <w:rFonts w:ascii="Times New Roman" w:hAnsi="Times New Roman"/>
                <w:color w:val="212121"/>
                <w:sz w:val="24"/>
              </w:rPr>
              <w:t>Oligonucleótidos</w:t>
            </w:r>
          </w:p>
        </w:tc>
      </w:tr>
      <w:tr>
        <w:trPr>
          <w:trHeight w:val="657" w:hRule="atLeast"/>
        </w:trPr>
        <w:tc>
          <w:tcPr>
            <w:tcW w:w="4984" w:type="dxa"/>
          </w:tcPr>
          <w:p>
            <w:pPr>
              <w:pStyle w:val="TableParagraph"/>
              <w:spacing w:before="102"/>
              <w:ind w:left="574" w:right="552"/>
              <w:jc w:val="center"/>
              <w:rPr>
                <w:rFonts w:ascii="Times New Roman" w:hAnsi="Times New Roman"/>
                <w:sz w:val="24"/>
              </w:rPr>
            </w:pPr>
            <w:r>
              <w:rPr>
                <w:rFonts w:ascii="Times New Roman" w:hAnsi="Times New Roman"/>
                <w:sz w:val="24"/>
              </w:rPr>
              <w:t>PS1_COM_F: Forward (5’- 3’)</w:t>
            </w:r>
          </w:p>
        </w:tc>
        <w:tc>
          <w:tcPr>
            <w:tcW w:w="4989" w:type="dxa"/>
          </w:tcPr>
          <w:p>
            <w:pPr>
              <w:pStyle w:val="TableParagraph"/>
              <w:spacing w:before="102"/>
              <w:ind w:left="669" w:right="645"/>
              <w:jc w:val="center"/>
              <w:rPr>
                <w:rFonts w:ascii="Times New Roman"/>
                <w:sz w:val="24"/>
              </w:rPr>
            </w:pPr>
            <w:r>
              <w:rPr>
                <w:rFonts w:ascii="Times New Roman"/>
                <w:color w:val="212121"/>
                <w:sz w:val="24"/>
              </w:rPr>
              <w:t>TGGTGCTAGGGATCAAACTCAC</w:t>
            </w:r>
          </w:p>
        </w:tc>
      </w:tr>
      <w:tr>
        <w:trPr>
          <w:trHeight w:val="651" w:hRule="atLeast"/>
        </w:trPr>
        <w:tc>
          <w:tcPr>
            <w:tcW w:w="4984" w:type="dxa"/>
          </w:tcPr>
          <w:p>
            <w:pPr>
              <w:pStyle w:val="TableParagraph"/>
              <w:spacing w:before="102"/>
              <w:ind w:left="574" w:right="547"/>
              <w:jc w:val="center"/>
              <w:rPr>
                <w:rFonts w:ascii="Times New Roman" w:hAnsi="Times New Roman"/>
                <w:sz w:val="24"/>
              </w:rPr>
            </w:pPr>
            <w:r>
              <w:rPr>
                <w:rFonts w:ascii="Times New Roman" w:hAnsi="Times New Roman"/>
                <w:sz w:val="24"/>
              </w:rPr>
              <w:t>PS1_COM_R: </w:t>
            </w:r>
            <w:r>
              <w:rPr>
                <w:rFonts w:ascii="Times New Roman" w:hAnsi="Times New Roman"/>
                <w:color w:val="212121"/>
                <w:sz w:val="24"/>
              </w:rPr>
              <w:t>Reverse (5’- 3’)</w:t>
            </w:r>
          </w:p>
        </w:tc>
        <w:tc>
          <w:tcPr>
            <w:tcW w:w="4989" w:type="dxa"/>
          </w:tcPr>
          <w:p>
            <w:pPr>
              <w:pStyle w:val="TableParagraph"/>
              <w:spacing w:before="102"/>
              <w:ind w:left="668" w:right="645"/>
              <w:jc w:val="center"/>
              <w:rPr>
                <w:rFonts w:ascii="Times New Roman"/>
                <w:sz w:val="24"/>
              </w:rPr>
            </w:pPr>
            <w:r>
              <w:rPr>
                <w:rFonts w:ascii="Times New Roman"/>
                <w:color w:val="212121"/>
                <w:sz w:val="24"/>
              </w:rPr>
              <w:t>AACCGTTCAGGGCATTCTGG</w:t>
            </w:r>
          </w:p>
        </w:tc>
      </w:tr>
      <w:tr>
        <w:trPr>
          <w:trHeight w:val="656" w:hRule="atLeast"/>
        </w:trPr>
        <w:tc>
          <w:tcPr>
            <w:tcW w:w="4984" w:type="dxa"/>
          </w:tcPr>
          <w:p>
            <w:pPr>
              <w:pStyle w:val="TableParagraph"/>
              <w:spacing w:before="102"/>
              <w:ind w:left="574" w:right="548"/>
              <w:jc w:val="center"/>
              <w:rPr>
                <w:rFonts w:ascii="Times New Roman" w:hAnsi="Times New Roman"/>
                <w:sz w:val="24"/>
              </w:rPr>
            </w:pPr>
            <w:r>
              <w:rPr>
                <w:rFonts w:ascii="Times New Roman" w:hAnsi="Times New Roman"/>
                <w:sz w:val="24"/>
              </w:rPr>
              <w:t>Tamaño del amplicón teórico:</w:t>
            </w:r>
          </w:p>
        </w:tc>
        <w:tc>
          <w:tcPr>
            <w:tcW w:w="4989" w:type="dxa"/>
          </w:tcPr>
          <w:p>
            <w:pPr>
              <w:pStyle w:val="TableParagraph"/>
              <w:spacing w:before="102"/>
              <w:ind w:left="669" w:right="635"/>
              <w:jc w:val="center"/>
              <w:rPr>
                <w:rFonts w:ascii="Times New Roman"/>
                <w:sz w:val="24"/>
              </w:rPr>
            </w:pPr>
            <w:r>
              <w:rPr>
                <w:rFonts w:ascii="Times New Roman"/>
                <w:color w:val="212121"/>
                <w:sz w:val="24"/>
              </w:rPr>
              <w:t>924 pb</w:t>
            </w:r>
          </w:p>
        </w:tc>
      </w:tr>
    </w:tbl>
    <w:p>
      <w:pPr>
        <w:pStyle w:val="BodyText"/>
        <w:rPr>
          <w:sz w:val="26"/>
        </w:rPr>
      </w:pPr>
    </w:p>
    <w:p>
      <w:pPr>
        <w:pStyle w:val="BodyText"/>
        <w:rPr>
          <w:sz w:val="26"/>
        </w:rPr>
      </w:pPr>
    </w:p>
    <w:p>
      <w:pPr>
        <w:pStyle w:val="BodyText"/>
        <w:spacing w:before="215"/>
        <w:ind w:left="1725" w:right="2939"/>
        <w:jc w:val="center"/>
      </w:pPr>
      <w:r>
        <w:rPr>
          <w:color w:val="212121"/>
        </w:rPr>
        <w:t>Tabla</w:t>
      </w:r>
      <w:r>
        <w:rPr>
          <w:color w:val="212121"/>
          <w:spacing w:val="3"/>
        </w:rPr>
        <w:t> </w:t>
      </w:r>
      <w:r>
        <w:rPr>
          <w:color w:val="212121"/>
        </w:rPr>
        <w:t>4.9</w:t>
      </w:r>
    </w:p>
    <w:p>
      <w:pPr>
        <w:pStyle w:val="BodyText"/>
        <w:spacing w:before="1"/>
        <w:rPr>
          <w:sz w:val="15"/>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65"/>
        <w:gridCol w:w="4960"/>
      </w:tblGrid>
      <w:tr>
        <w:trPr>
          <w:trHeight w:val="479" w:hRule="atLeast"/>
        </w:trPr>
        <w:tc>
          <w:tcPr>
            <w:tcW w:w="4965" w:type="dxa"/>
          </w:tcPr>
          <w:p>
            <w:pPr>
              <w:pStyle w:val="TableParagraph"/>
              <w:spacing w:before="97"/>
              <w:ind w:left="594" w:right="578"/>
              <w:jc w:val="center"/>
              <w:rPr>
                <w:rFonts w:ascii="Times New Roman" w:hAnsi="Times New Roman"/>
                <w:sz w:val="24"/>
              </w:rPr>
            </w:pPr>
            <w:r>
              <w:rPr>
                <w:rFonts w:ascii="Times New Roman" w:hAnsi="Times New Roman"/>
                <w:color w:val="212121"/>
                <w:sz w:val="24"/>
              </w:rPr>
              <w:t>Primers de comprobación pseudogen 2</w:t>
            </w:r>
          </w:p>
        </w:tc>
        <w:tc>
          <w:tcPr>
            <w:tcW w:w="4960" w:type="dxa"/>
          </w:tcPr>
          <w:p>
            <w:pPr>
              <w:pStyle w:val="TableParagraph"/>
              <w:spacing w:before="97"/>
              <w:ind w:left="678" w:right="653"/>
              <w:jc w:val="center"/>
              <w:rPr>
                <w:rFonts w:ascii="Times New Roman" w:hAnsi="Times New Roman"/>
                <w:sz w:val="24"/>
              </w:rPr>
            </w:pPr>
            <w:r>
              <w:rPr>
                <w:rFonts w:ascii="Times New Roman" w:hAnsi="Times New Roman"/>
                <w:color w:val="212121"/>
                <w:sz w:val="24"/>
              </w:rPr>
              <w:t>Oligonucleótidos</w:t>
            </w:r>
          </w:p>
        </w:tc>
      </w:tr>
      <w:tr>
        <w:trPr>
          <w:trHeight w:val="651" w:hRule="atLeast"/>
        </w:trPr>
        <w:tc>
          <w:tcPr>
            <w:tcW w:w="4965" w:type="dxa"/>
          </w:tcPr>
          <w:p>
            <w:pPr>
              <w:pStyle w:val="TableParagraph"/>
              <w:spacing w:before="102"/>
              <w:ind w:left="594" w:right="572"/>
              <w:jc w:val="center"/>
              <w:rPr>
                <w:rFonts w:ascii="Times New Roman" w:hAnsi="Times New Roman"/>
                <w:sz w:val="24"/>
              </w:rPr>
            </w:pPr>
            <w:r>
              <w:rPr>
                <w:rFonts w:ascii="Times New Roman" w:hAnsi="Times New Roman"/>
                <w:sz w:val="24"/>
              </w:rPr>
              <w:t>PS2_COM_F: Forward (5’- 3’)</w:t>
            </w:r>
          </w:p>
        </w:tc>
        <w:tc>
          <w:tcPr>
            <w:tcW w:w="4960" w:type="dxa"/>
          </w:tcPr>
          <w:p>
            <w:pPr>
              <w:pStyle w:val="TableParagraph"/>
              <w:spacing w:before="102"/>
              <w:ind w:left="674" w:right="660"/>
              <w:jc w:val="center"/>
              <w:rPr>
                <w:rFonts w:ascii="Times New Roman"/>
                <w:sz w:val="24"/>
              </w:rPr>
            </w:pPr>
            <w:r>
              <w:rPr>
                <w:rFonts w:ascii="Times New Roman"/>
                <w:color w:val="212121"/>
                <w:sz w:val="24"/>
              </w:rPr>
              <w:t>CGATGGCAGTGAGGTACAGG</w:t>
            </w:r>
          </w:p>
        </w:tc>
      </w:tr>
      <w:tr>
        <w:trPr>
          <w:trHeight w:val="656" w:hRule="atLeast"/>
        </w:trPr>
        <w:tc>
          <w:tcPr>
            <w:tcW w:w="4965" w:type="dxa"/>
          </w:tcPr>
          <w:p>
            <w:pPr>
              <w:pStyle w:val="TableParagraph"/>
              <w:spacing w:before="102"/>
              <w:ind w:left="594" w:right="577"/>
              <w:jc w:val="center"/>
              <w:rPr>
                <w:rFonts w:ascii="Times New Roman" w:hAnsi="Times New Roman"/>
                <w:sz w:val="24"/>
              </w:rPr>
            </w:pPr>
            <w:r>
              <w:rPr>
                <w:rFonts w:ascii="Times New Roman" w:hAnsi="Times New Roman"/>
                <w:sz w:val="24"/>
              </w:rPr>
              <w:t>PS2_COM_R: </w:t>
            </w:r>
            <w:r>
              <w:rPr>
                <w:rFonts w:ascii="Times New Roman" w:hAnsi="Times New Roman"/>
                <w:color w:val="212121"/>
                <w:sz w:val="24"/>
              </w:rPr>
              <w:t>Reverse (5’- 3’)</w:t>
            </w:r>
          </w:p>
        </w:tc>
        <w:tc>
          <w:tcPr>
            <w:tcW w:w="4960" w:type="dxa"/>
          </w:tcPr>
          <w:p>
            <w:pPr>
              <w:pStyle w:val="TableParagraph"/>
              <w:spacing w:before="102"/>
              <w:ind w:left="678" w:right="656"/>
              <w:jc w:val="center"/>
              <w:rPr>
                <w:rFonts w:ascii="Times New Roman"/>
                <w:sz w:val="24"/>
              </w:rPr>
            </w:pPr>
            <w:r>
              <w:rPr>
                <w:rFonts w:ascii="Times New Roman"/>
                <w:color w:val="212121"/>
                <w:sz w:val="24"/>
              </w:rPr>
              <w:t>AGGCACACTAGGCTGAAGTG</w:t>
            </w:r>
          </w:p>
        </w:tc>
      </w:tr>
      <w:tr>
        <w:trPr>
          <w:trHeight w:val="652" w:hRule="atLeast"/>
        </w:trPr>
        <w:tc>
          <w:tcPr>
            <w:tcW w:w="4965" w:type="dxa"/>
          </w:tcPr>
          <w:p>
            <w:pPr>
              <w:pStyle w:val="TableParagraph"/>
              <w:spacing w:before="102"/>
              <w:ind w:left="594" w:right="578"/>
              <w:jc w:val="center"/>
              <w:rPr>
                <w:rFonts w:ascii="Times New Roman" w:hAnsi="Times New Roman"/>
                <w:sz w:val="24"/>
              </w:rPr>
            </w:pPr>
            <w:r>
              <w:rPr>
                <w:rFonts w:ascii="Times New Roman" w:hAnsi="Times New Roman"/>
                <w:sz w:val="24"/>
              </w:rPr>
              <w:t>Tamaño del amplicón teórico:</w:t>
            </w:r>
          </w:p>
        </w:tc>
        <w:tc>
          <w:tcPr>
            <w:tcW w:w="4960" w:type="dxa"/>
          </w:tcPr>
          <w:p>
            <w:pPr>
              <w:pStyle w:val="TableParagraph"/>
              <w:spacing w:before="102"/>
              <w:ind w:left="678" w:right="654"/>
              <w:jc w:val="center"/>
              <w:rPr>
                <w:rFonts w:ascii="Times New Roman"/>
                <w:sz w:val="24"/>
              </w:rPr>
            </w:pPr>
            <w:r>
              <w:rPr>
                <w:rFonts w:ascii="Times New Roman"/>
                <w:color w:val="212121"/>
                <w:sz w:val="24"/>
              </w:rPr>
              <w:t>466 pb</w:t>
            </w:r>
          </w:p>
        </w:tc>
      </w:tr>
    </w:tbl>
    <w:p>
      <w:pPr>
        <w:pStyle w:val="BodyText"/>
        <w:rPr>
          <w:sz w:val="26"/>
        </w:rPr>
      </w:pPr>
    </w:p>
    <w:p>
      <w:pPr>
        <w:pStyle w:val="BodyText"/>
        <w:spacing w:before="158"/>
        <w:ind w:left="1725" w:right="2944"/>
        <w:jc w:val="center"/>
      </w:pPr>
      <w:r>
        <w:rPr/>
        <w:pict>
          <v:line style="position:absolute;mso-position-horizontal-relative:page;mso-position-vertical-relative:paragraph;z-index:-252525568" from="204.669998pt,61.363132pt" to="204.669998pt,75.283132pt" stroked="true" strokeweight="3.12pt" strokecolor="#f5f5f5">
            <v:stroke dashstyle="solid"/>
            <w10:wrap type="none"/>
          </v:line>
        </w:pict>
      </w:r>
      <w:r>
        <w:rPr/>
        <w:pict>
          <v:line style="position:absolute;mso-position-horizontal-relative:page;mso-position-vertical-relative:paragraph;z-index:-252524544" from="206.110001pt,95.203133pt" to="206.110001pt,109.123133pt" stroked="true" strokeweight="3.12pt" strokecolor="#f5f5f5">
            <v:stroke dashstyle="solid"/>
            <w10:wrap type="none"/>
          </v:line>
        </w:pict>
      </w:r>
      <w:r>
        <w:rPr>
          <w:color w:val="212121"/>
        </w:rPr>
        <w:t>Tabla 4.10</w:t>
      </w:r>
    </w:p>
    <w:p>
      <w:pPr>
        <w:pStyle w:val="BodyText"/>
        <w:spacing w:before="6"/>
        <w:rPr>
          <w:sz w:val="15"/>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65"/>
        <w:gridCol w:w="4960"/>
      </w:tblGrid>
      <w:tr>
        <w:trPr>
          <w:trHeight w:val="474" w:hRule="atLeast"/>
        </w:trPr>
        <w:tc>
          <w:tcPr>
            <w:tcW w:w="4965" w:type="dxa"/>
          </w:tcPr>
          <w:p>
            <w:pPr>
              <w:pStyle w:val="TableParagraph"/>
              <w:spacing w:before="97"/>
              <w:ind w:left="594" w:right="578"/>
              <w:jc w:val="center"/>
              <w:rPr>
                <w:rFonts w:ascii="Times New Roman" w:hAnsi="Times New Roman"/>
                <w:sz w:val="24"/>
              </w:rPr>
            </w:pPr>
            <w:r>
              <w:rPr>
                <w:rFonts w:ascii="Times New Roman" w:hAnsi="Times New Roman"/>
                <w:color w:val="212121"/>
                <w:sz w:val="24"/>
              </w:rPr>
              <w:t>Primers de comprobación pseudogen 3</w:t>
            </w:r>
          </w:p>
        </w:tc>
        <w:tc>
          <w:tcPr>
            <w:tcW w:w="4960" w:type="dxa"/>
          </w:tcPr>
          <w:p>
            <w:pPr>
              <w:pStyle w:val="TableParagraph"/>
              <w:spacing w:before="97"/>
              <w:ind w:left="678" w:right="653"/>
              <w:jc w:val="center"/>
              <w:rPr>
                <w:rFonts w:ascii="Times New Roman" w:hAnsi="Times New Roman"/>
                <w:sz w:val="24"/>
              </w:rPr>
            </w:pPr>
            <w:r>
              <w:rPr>
                <w:rFonts w:ascii="Times New Roman" w:hAnsi="Times New Roman"/>
                <w:color w:val="212121"/>
                <w:sz w:val="24"/>
              </w:rPr>
              <w:t>Oligonucleótidos</w:t>
            </w:r>
          </w:p>
        </w:tc>
      </w:tr>
      <w:tr>
        <w:trPr>
          <w:trHeight w:val="656" w:hRule="atLeast"/>
        </w:trPr>
        <w:tc>
          <w:tcPr>
            <w:tcW w:w="4965" w:type="dxa"/>
          </w:tcPr>
          <w:p>
            <w:pPr>
              <w:pStyle w:val="TableParagraph"/>
              <w:spacing w:before="102"/>
              <w:ind w:left="594" w:right="572"/>
              <w:jc w:val="center"/>
              <w:rPr>
                <w:rFonts w:ascii="Times New Roman" w:hAnsi="Times New Roman"/>
                <w:sz w:val="24"/>
              </w:rPr>
            </w:pPr>
            <w:r>
              <w:rPr>
                <w:rFonts w:ascii="Times New Roman" w:hAnsi="Times New Roman"/>
                <w:sz w:val="24"/>
              </w:rPr>
              <w:t>PS3_COM_F: Forward (5’- 3’)</w:t>
            </w:r>
          </w:p>
        </w:tc>
        <w:tc>
          <w:tcPr>
            <w:tcW w:w="4960" w:type="dxa"/>
          </w:tcPr>
          <w:p>
            <w:pPr>
              <w:pStyle w:val="TableParagraph"/>
              <w:spacing w:before="102"/>
              <w:ind w:left="678" w:right="660"/>
              <w:jc w:val="center"/>
              <w:rPr>
                <w:rFonts w:ascii="Times New Roman"/>
                <w:sz w:val="24"/>
              </w:rPr>
            </w:pPr>
            <w:r>
              <w:rPr>
                <w:rFonts w:ascii="Times New Roman"/>
                <w:color w:val="333333"/>
                <w:sz w:val="24"/>
              </w:rPr>
              <w:t>CCCATTGAGGATGTCTCAGTCC</w:t>
            </w:r>
          </w:p>
        </w:tc>
      </w:tr>
      <w:tr>
        <w:trPr>
          <w:trHeight w:val="652" w:hRule="atLeast"/>
        </w:trPr>
        <w:tc>
          <w:tcPr>
            <w:tcW w:w="4965" w:type="dxa"/>
          </w:tcPr>
          <w:p>
            <w:pPr>
              <w:pStyle w:val="TableParagraph"/>
              <w:spacing w:before="102"/>
              <w:ind w:left="594" w:right="577"/>
              <w:jc w:val="center"/>
              <w:rPr>
                <w:rFonts w:ascii="Times New Roman" w:hAnsi="Times New Roman"/>
                <w:sz w:val="24"/>
              </w:rPr>
            </w:pPr>
            <w:r>
              <w:rPr>
                <w:rFonts w:ascii="Times New Roman" w:hAnsi="Times New Roman"/>
                <w:sz w:val="24"/>
              </w:rPr>
              <w:t>PS3_COM_R: </w:t>
            </w:r>
            <w:r>
              <w:rPr>
                <w:rFonts w:ascii="Times New Roman" w:hAnsi="Times New Roman"/>
                <w:color w:val="212121"/>
                <w:sz w:val="24"/>
              </w:rPr>
              <w:t>Reverse (5’- 3’)</w:t>
            </w:r>
          </w:p>
        </w:tc>
        <w:tc>
          <w:tcPr>
            <w:tcW w:w="4960" w:type="dxa"/>
          </w:tcPr>
          <w:p>
            <w:pPr>
              <w:pStyle w:val="TableParagraph"/>
              <w:spacing w:before="102"/>
              <w:ind w:left="678" w:right="656"/>
              <w:jc w:val="center"/>
              <w:rPr>
                <w:rFonts w:ascii="Times New Roman"/>
                <w:sz w:val="24"/>
              </w:rPr>
            </w:pPr>
            <w:r>
              <w:rPr>
                <w:rFonts w:ascii="Times New Roman"/>
                <w:color w:val="333333"/>
                <w:sz w:val="24"/>
              </w:rPr>
              <w:t>ACCCCATTGGCTTCTTCAGAG</w:t>
            </w:r>
          </w:p>
        </w:tc>
      </w:tr>
      <w:tr>
        <w:trPr>
          <w:trHeight w:val="657" w:hRule="atLeast"/>
        </w:trPr>
        <w:tc>
          <w:tcPr>
            <w:tcW w:w="4965" w:type="dxa"/>
          </w:tcPr>
          <w:p>
            <w:pPr>
              <w:pStyle w:val="TableParagraph"/>
              <w:spacing w:before="102"/>
              <w:ind w:left="594" w:right="577"/>
              <w:jc w:val="center"/>
              <w:rPr>
                <w:rFonts w:ascii="Times New Roman" w:hAnsi="Times New Roman"/>
                <w:sz w:val="24"/>
              </w:rPr>
            </w:pPr>
            <w:r>
              <w:rPr>
                <w:rFonts w:ascii="Times New Roman" w:hAnsi="Times New Roman"/>
                <w:sz w:val="24"/>
              </w:rPr>
              <w:t>Tamaño de amplicón teórico:</w:t>
            </w:r>
          </w:p>
        </w:tc>
        <w:tc>
          <w:tcPr>
            <w:tcW w:w="4960" w:type="dxa"/>
          </w:tcPr>
          <w:p>
            <w:pPr>
              <w:pStyle w:val="TableParagraph"/>
              <w:spacing w:before="102"/>
              <w:ind w:left="678" w:right="654"/>
              <w:jc w:val="center"/>
              <w:rPr>
                <w:rFonts w:ascii="Times New Roman"/>
                <w:sz w:val="24"/>
              </w:rPr>
            </w:pPr>
            <w:r>
              <w:rPr>
                <w:rFonts w:ascii="Times New Roman"/>
                <w:color w:val="333333"/>
                <w:sz w:val="24"/>
              </w:rPr>
              <w:t>270 pb</w:t>
            </w:r>
          </w:p>
        </w:tc>
      </w:tr>
    </w:tbl>
    <w:p>
      <w:pPr>
        <w:spacing w:after="0"/>
        <w:jc w:val="center"/>
        <w:rPr>
          <w:rFonts w:ascii="Times New Roman"/>
          <w:sz w:val="24"/>
        </w:rPr>
        <w:sectPr>
          <w:pgSz w:w="12240" w:h="15840"/>
          <w:pgMar w:header="7" w:footer="0" w:top="1040" w:bottom="280" w:left="1580" w:right="360"/>
        </w:sectPr>
      </w:pPr>
    </w:p>
    <w:p>
      <w:pPr>
        <w:pStyle w:val="BodyText"/>
        <w:spacing w:before="10"/>
        <w:rPr>
          <w:sz w:val="6"/>
        </w:rPr>
      </w:pPr>
    </w:p>
    <w:p>
      <w:pPr>
        <w:pStyle w:val="BodyText"/>
        <w:ind w:left="753"/>
        <w:rPr>
          <w:sz w:val="20"/>
        </w:rPr>
      </w:pPr>
      <w:r>
        <w:rPr>
          <w:sz w:val="20"/>
        </w:rPr>
        <w:drawing>
          <wp:inline distT="0" distB="0" distL="0" distR="0">
            <wp:extent cx="4803778" cy="3296412"/>
            <wp:effectExtent l="0" t="0" r="0" b="0"/>
            <wp:docPr id="25" name="image13.jpeg"/>
            <wp:cNvGraphicFramePr>
              <a:graphicFrameLocks noChangeAspect="1"/>
            </wp:cNvGraphicFramePr>
            <a:graphic>
              <a:graphicData uri="http://schemas.openxmlformats.org/drawingml/2006/picture">
                <pic:pic>
                  <pic:nvPicPr>
                    <pic:cNvPr id="26" name="image13.jpeg"/>
                    <pic:cNvPicPr/>
                  </pic:nvPicPr>
                  <pic:blipFill>
                    <a:blip r:embed="rId20" cstate="print"/>
                    <a:stretch>
                      <a:fillRect/>
                    </a:stretch>
                  </pic:blipFill>
                  <pic:spPr>
                    <a:xfrm>
                      <a:off x="0" y="0"/>
                      <a:ext cx="4803778" cy="3296412"/>
                    </a:xfrm>
                    <a:prstGeom prst="rect">
                      <a:avLst/>
                    </a:prstGeom>
                  </pic:spPr>
                </pic:pic>
              </a:graphicData>
            </a:graphic>
          </wp:inline>
        </w:drawing>
      </w:r>
      <w:r>
        <w:rPr>
          <w:sz w:val="20"/>
        </w:rPr>
      </w:r>
    </w:p>
    <w:p>
      <w:pPr>
        <w:pStyle w:val="BodyText"/>
        <w:spacing w:line="360" w:lineRule="auto" w:before="144"/>
        <w:ind w:left="119" w:right="1336"/>
        <w:jc w:val="both"/>
      </w:pPr>
      <w:r>
        <w:rPr>
          <w:i/>
        </w:rPr>
        <w:t>Figura. 4.11. </w:t>
      </w:r>
      <w:r>
        <w:rPr/>
        <w:t>Gel de electroforesis que muestra la presencia del amplicón teórico en caso de unión de los extremos luego de la escisión por parte de Cas9, tanto las colonias A, D, F y G de la línea GC-2 fueron exitosamente editadas. Esto se evidencia por la presencia del amplicón de ~200-300pb. En el caso de GC-1 solo la colonia C presenta la presencia del amplicón de menor tamaño (~600-700 pb).</w:t>
      </w:r>
    </w:p>
    <w:p>
      <w:pPr>
        <w:spacing w:after="0" w:line="360" w:lineRule="auto"/>
        <w:jc w:val="both"/>
        <w:sectPr>
          <w:pgSz w:w="12240" w:h="15840"/>
          <w:pgMar w:header="7" w:footer="0" w:top="1040" w:bottom="280" w:left="1580" w:right="360"/>
        </w:sectPr>
      </w:pPr>
    </w:p>
    <w:p>
      <w:pPr>
        <w:pStyle w:val="BodyText"/>
        <w:spacing w:before="10"/>
        <w:rPr>
          <w:sz w:val="6"/>
        </w:rPr>
      </w:pPr>
    </w:p>
    <w:p>
      <w:pPr>
        <w:pStyle w:val="BodyText"/>
        <w:ind w:left="772"/>
        <w:rPr>
          <w:sz w:val="20"/>
        </w:rPr>
      </w:pPr>
      <w:r>
        <w:rPr>
          <w:sz w:val="20"/>
        </w:rPr>
        <w:drawing>
          <wp:inline distT="0" distB="0" distL="0" distR="0">
            <wp:extent cx="4780228" cy="2839212"/>
            <wp:effectExtent l="0" t="0" r="0" b="0"/>
            <wp:docPr id="27" name="image14.jpeg"/>
            <wp:cNvGraphicFramePr>
              <a:graphicFrameLocks noChangeAspect="1"/>
            </wp:cNvGraphicFramePr>
            <a:graphic>
              <a:graphicData uri="http://schemas.openxmlformats.org/drawingml/2006/picture">
                <pic:pic>
                  <pic:nvPicPr>
                    <pic:cNvPr id="28" name="image14.jpeg"/>
                    <pic:cNvPicPr/>
                  </pic:nvPicPr>
                  <pic:blipFill>
                    <a:blip r:embed="rId21" cstate="print"/>
                    <a:stretch>
                      <a:fillRect/>
                    </a:stretch>
                  </pic:blipFill>
                  <pic:spPr>
                    <a:xfrm>
                      <a:off x="0" y="0"/>
                      <a:ext cx="4780228" cy="2839212"/>
                    </a:xfrm>
                    <a:prstGeom prst="rect">
                      <a:avLst/>
                    </a:prstGeom>
                  </pic:spPr>
                </pic:pic>
              </a:graphicData>
            </a:graphic>
          </wp:inline>
        </w:drawing>
      </w:r>
      <w:r>
        <w:rPr>
          <w:sz w:val="20"/>
        </w:rPr>
      </w:r>
    </w:p>
    <w:p>
      <w:pPr>
        <w:pStyle w:val="BodyText"/>
        <w:spacing w:line="360" w:lineRule="auto" w:before="144"/>
        <w:ind w:left="119" w:right="1340"/>
        <w:jc w:val="both"/>
      </w:pPr>
      <w:r>
        <w:rPr>
          <w:i/>
        </w:rPr>
        <w:t>Figura 4.12. </w:t>
      </w:r>
      <w:r>
        <w:rPr/>
        <w:t>Gel de electroforesis que muestra la presencia del amplicón teórico en caso de unión de los extremos luego de la escisión por parte de Cas9, en la línea 3T3 se evidencia que</w:t>
      </w:r>
      <w:r>
        <w:rPr>
          <w:spacing w:val="-5"/>
        </w:rPr>
        <w:t> </w:t>
      </w:r>
      <w:r>
        <w:rPr/>
        <w:t>tanto</w:t>
      </w:r>
      <w:r>
        <w:rPr>
          <w:spacing w:val="-4"/>
        </w:rPr>
        <w:t> </w:t>
      </w:r>
      <w:r>
        <w:rPr/>
        <w:t>la</w:t>
      </w:r>
      <w:r>
        <w:rPr>
          <w:spacing w:val="-3"/>
        </w:rPr>
        <w:t> </w:t>
      </w:r>
      <w:r>
        <w:rPr/>
        <w:t>colonia</w:t>
      </w:r>
      <w:r>
        <w:rPr>
          <w:spacing w:val="-5"/>
        </w:rPr>
        <w:t> </w:t>
      </w:r>
      <w:r>
        <w:rPr/>
        <w:t>B</w:t>
      </w:r>
      <w:r>
        <w:rPr>
          <w:spacing w:val="-6"/>
        </w:rPr>
        <w:t> </w:t>
      </w:r>
      <w:r>
        <w:rPr/>
        <w:t>como</w:t>
      </w:r>
      <w:r>
        <w:rPr>
          <w:spacing w:val="-2"/>
        </w:rPr>
        <w:t> </w:t>
      </w:r>
      <w:r>
        <w:rPr/>
        <w:t>la</w:t>
      </w:r>
      <w:r>
        <w:rPr>
          <w:spacing w:val="-4"/>
        </w:rPr>
        <w:t> </w:t>
      </w:r>
      <w:r>
        <w:rPr/>
        <w:t>I,</w:t>
      </w:r>
      <w:r>
        <w:rPr>
          <w:spacing w:val="-2"/>
        </w:rPr>
        <w:t> </w:t>
      </w:r>
      <w:r>
        <w:rPr/>
        <w:t>fueron</w:t>
      </w:r>
      <w:r>
        <w:rPr>
          <w:spacing w:val="-3"/>
        </w:rPr>
        <w:t> </w:t>
      </w:r>
      <w:r>
        <w:rPr/>
        <w:t>exitosamente</w:t>
      </w:r>
      <w:r>
        <w:rPr>
          <w:spacing w:val="-5"/>
        </w:rPr>
        <w:t> </w:t>
      </w:r>
      <w:r>
        <w:rPr/>
        <w:t>editadas</w:t>
      </w:r>
      <w:r>
        <w:rPr>
          <w:spacing w:val="-6"/>
        </w:rPr>
        <w:t> </w:t>
      </w:r>
      <w:r>
        <w:rPr/>
        <w:t>por</w:t>
      </w:r>
      <w:r>
        <w:rPr>
          <w:spacing w:val="-1"/>
        </w:rPr>
        <w:t> </w:t>
      </w:r>
      <w:r>
        <w:rPr/>
        <w:t>la</w:t>
      </w:r>
      <w:r>
        <w:rPr>
          <w:spacing w:val="-4"/>
        </w:rPr>
        <w:t> </w:t>
      </w:r>
      <w:r>
        <w:rPr/>
        <w:t>presencia</w:t>
      </w:r>
      <w:r>
        <w:rPr>
          <w:spacing w:val="-4"/>
        </w:rPr>
        <w:t> </w:t>
      </w:r>
      <w:r>
        <w:rPr/>
        <w:t>del</w:t>
      </w:r>
      <w:r>
        <w:rPr>
          <w:spacing w:val="-2"/>
        </w:rPr>
        <w:t> </w:t>
      </w:r>
      <w:r>
        <w:rPr/>
        <w:t>amplicón de ~600-800 pb. Además, la colonia 4 de la línea GC-2 también fue editada exitosamente (~200-300</w:t>
      </w:r>
      <w:r>
        <w:rPr>
          <w:spacing w:val="1"/>
        </w:rPr>
        <w:t> </w:t>
      </w:r>
      <w:r>
        <w:rPr/>
        <w:t>pb).</w:t>
      </w:r>
    </w:p>
    <w:p>
      <w:pPr>
        <w:spacing w:after="0" w:line="360" w:lineRule="auto"/>
        <w:jc w:val="both"/>
        <w:sectPr>
          <w:pgSz w:w="12240" w:h="15840"/>
          <w:pgMar w:header="7" w:footer="0" w:top="1040" w:bottom="280" w:left="1580" w:right="360"/>
        </w:sectPr>
      </w:pPr>
    </w:p>
    <w:p>
      <w:pPr>
        <w:spacing w:before="76"/>
        <w:ind w:left="119" w:right="0" w:firstLine="0"/>
        <w:jc w:val="both"/>
        <w:rPr>
          <w:b/>
          <w:sz w:val="28"/>
        </w:rPr>
      </w:pPr>
      <w:bookmarkStart w:name="_TOC_250002" w:id="28"/>
      <w:bookmarkEnd w:id="28"/>
      <w:r>
        <w:rPr>
          <w:b/>
          <w:sz w:val="28"/>
        </w:rPr>
        <w:t>5.- Discusión:</w:t>
      </w:r>
    </w:p>
    <w:p>
      <w:pPr>
        <w:pStyle w:val="BodyText"/>
        <w:spacing w:line="360" w:lineRule="auto" w:before="167"/>
        <w:ind w:left="119" w:right="1332" w:firstLine="302"/>
        <w:jc w:val="both"/>
      </w:pPr>
      <w:r>
        <w:rPr/>
        <w:t>Los miRNAs regulan post-trancripcionalmente a los los mRNAs silenciándolos o degradándolos, pero está interacción se complejiza si llega a formar parte de una red de regulación</w:t>
      </w:r>
      <w:r>
        <w:rPr>
          <w:spacing w:val="-11"/>
        </w:rPr>
        <w:t> </w:t>
      </w:r>
      <w:r>
        <w:rPr/>
        <w:t>descrita</w:t>
      </w:r>
      <w:r>
        <w:rPr>
          <w:spacing w:val="-12"/>
        </w:rPr>
        <w:t> </w:t>
      </w:r>
      <w:r>
        <w:rPr/>
        <w:t>como</w:t>
      </w:r>
      <w:r>
        <w:rPr>
          <w:spacing w:val="-13"/>
        </w:rPr>
        <w:t> </w:t>
      </w:r>
      <w:r>
        <w:rPr/>
        <w:t>las</w:t>
      </w:r>
      <w:r>
        <w:rPr>
          <w:spacing w:val="-18"/>
        </w:rPr>
        <w:t> </w:t>
      </w:r>
      <w:r>
        <w:rPr/>
        <w:t>redes</w:t>
      </w:r>
      <w:r>
        <w:rPr>
          <w:spacing w:val="-12"/>
        </w:rPr>
        <w:t> </w:t>
      </w:r>
      <w:r>
        <w:rPr/>
        <w:t>ceRNA,</w:t>
      </w:r>
      <w:r>
        <w:rPr>
          <w:spacing w:val="-9"/>
        </w:rPr>
        <w:t> </w:t>
      </w:r>
      <w:r>
        <w:rPr/>
        <w:t>en</w:t>
      </w:r>
      <w:r>
        <w:rPr>
          <w:spacing w:val="-15"/>
        </w:rPr>
        <w:t> </w:t>
      </w:r>
      <w:r>
        <w:rPr/>
        <w:t>las</w:t>
      </w:r>
      <w:r>
        <w:rPr>
          <w:spacing w:val="-13"/>
        </w:rPr>
        <w:t> </w:t>
      </w:r>
      <w:r>
        <w:rPr/>
        <w:t>cuales,</w:t>
      </w:r>
      <w:r>
        <w:rPr>
          <w:spacing w:val="-9"/>
        </w:rPr>
        <w:t> </w:t>
      </w:r>
      <w:r>
        <w:rPr/>
        <w:t>no</w:t>
      </w:r>
      <w:r>
        <w:rPr>
          <w:spacing w:val="-15"/>
        </w:rPr>
        <w:t> </w:t>
      </w:r>
      <w:r>
        <w:rPr/>
        <w:t>solo</w:t>
      </w:r>
      <w:r>
        <w:rPr>
          <w:spacing w:val="-10"/>
        </w:rPr>
        <w:t> </w:t>
      </w:r>
      <w:r>
        <w:rPr/>
        <w:t>están</w:t>
      </w:r>
      <w:r>
        <w:rPr>
          <w:spacing w:val="-11"/>
        </w:rPr>
        <w:t> </w:t>
      </w:r>
      <w:r>
        <w:rPr/>
        <w:t>presentes</w:t>
      </w:r>
      <w:r>
        <w:rPr>
          <w:spacing w:val="-13"/>
        </w:rPr>
        <w:t> </w:t>
      </w:r>
      <w:r>
        <w:rPr/>
        <w:t>los</w:t>
      </w:r>
      <w:r>
        <w:rPr>
          <w:spacing w:val="-12"/>
        </w:rPr>
        <w:t> </w:t>
      </w:r>
      <w:r>
        <w:rPr/>
        <w:t>miRNAs y lo mRNAs, sino que en ella también participan otros RNAs largos no codificantes, lncRNAs, como por ejemplo los transcritos de pseudogenes. Resulta difícil estudiar el rol que cumplen cada uno de estos tipos de RNA al interior de una red como la anteriormente descrita, debido a la naturaleza pleiotrópica de estos. Un procedimiento para abordar esta problemática es eliminar cada uno de los componentes por separado en un órgano o tipo celular especifico. Para lograr este fin se pueden utilizar múltiples estrategias de silenciamiento. En este trabajo se optó por el uso de la herramienta de edición genómica CRISPR,</w:t>
      </w:r>
      <w:r>
        <w:rPr>
          <w:spacing w:val="-3"/>
        </w:rPr>
        <w:t> </w:t>
      </w:r>
      <w:r>
        <w:rPr/>
        <w:t>con</w:t>
      </w:r>
      <w:r>
        <w:rPr>
          <w:spacing w:val="-5"/>
        </w:rPr>
        <w:t> </w:t>
      </w:r>
      <w:r>
        <w:rPr/>
        <w:t>la</w:t>
      </w:r>
      <w:r>
        <w:rPr>
          <w:spacing w:val="-5"/>
        </w:rPr>
        <w:t> </w:t>
      </w:r>
      <w:r>
        <w:rPr/>
        <w:t>cual</w:t>
      </w:r>
      <w:r>
        <w:rPr>
          <w:spacing w:val="-3"/>
        </w:rPr>
        <w:t> </w:t>
      </w:r>
      <w:r>
        <w:rPr/>
        <w:t>se</w:t>
      </w:r>
      <w:r>
        <w:rPr>
          <w:spacing w:val="-6"/>
        </w:rPr>
        <w:t> </w:t>
      </w:r>
      <w:r>
        <w:rPr/>
        <w:t>pueden</w:t>
      </w:r>
      <w:r>
        <w:rPr>
          <w:spacing w:val="-5"/>
        </w:rPr>
        <w:t> </w:t>
      </w:r>
      <w:r>
        <w:rPr/>
        <w:t>eliminar</w:t>
      </w:r>
      <w:r>
        <w:rPr>
          <w:spacing w:val="-2"/>
        </w:rPr>
        <w:t> </w:t>
      </w:r>
      <w:r>
        <w:rPr/>
        <w:t>secuencias</w:t>
      </w:r>
      <w:r>
        <w:rPr>
          <w:spacing w:val="-7"/>
        </w:rPr>
        <w:t> </w:t>
      </w:r>
      <w:r>
        <w:rPr/>
        <w:t>específicas</w:t>
      </w:r>
      <w:r>
        <w:rPr>
          <w:spacing w:val="-7"/>
        </w:rPr>
        <w:t> </w:t>
      </w:r>
      <w:r>
        <w:rPr/>
        <w:t>del</w:t>
      </w:r>
      <w:r>
        <w:rPr>
          <w:spacing w:val="-3"/>
        </w:rPr>
        <w:t> </w:t>
      </w:r>
      <w:r>
        <w:rPr/>
        <w:t>genoma</w:t>
      </w:r>
      <w:r>
        <w:rPr>
          <w:spacing w:val="-5"/>
        </w:rPr>
        <w:t> </w:t>
      </w:r>
      <w:r>
        <w:rPr/>
        <w:t>dependiendo</w:t>
      </w:r>
      <w:r>
        <w:rPr>
          <w:spacing w:val="-5"/>
        </w:rPr>
        <w:t> </w:t>
      </w:r>
      <w:r>
        <w:rPr/>
        <w:t>del objetivo.</w:t>
      </w:r>
      <w:r>
        <w:rPr>
          <w:spacing w:val="-17"/>
        </w:rPr>
        <w:t> </w:t>
      </w:r>
      <w:r>
        <w:rPr/>
        <w:t>Es</w:t>
      </w:r>
      <w:r>
        <w:rPr>
          <w:spacing w:val="-17"/>
        </w:rPr>
        <w:t> </w:t>
      </w:r>
      <w:r>
        <w:rPr/>
        <w:t>por</w:t>
      </w:r>
      <w:r>
        <w:rPr>
          <w:spacing w:val="-17"/>
        </w:rPr>
        <w:t> </w:t>
      </w:r>
      <w:r>
        <w:rPr/>
        <w:t>esto,</w:t>
      </w:r>
      <w:r>
        <w:rPr>
          <w:spacing w:val="-12"/>
        </w:rPr>
        <w:t> </w:t>
      </w:r>
      <w:r>
        <w:rPr/>
        <w:t>que</w:t>
      </w:r>
      <w:r>
        <w:rPr>
          <w:spacing w:val="-19"/>
        </w:rPr>
        <w:t> </w:t>
      </w:r>
      <w:r>
        <w:rPr/>
        <w:t>en</w:t>
      </w:r>
      <w:r>
        <w:rPr>
          <w:spacing w:val="-14"/>
        </w:rPr>
        <w:t> </w:t>
      </w:r>
      <w:r>
        <w:rPr/>
        <w:t>este</w:t>
      </w:r>
      <w:r>
        <w:rPr>
          <w:spacing w:val="-14"/>
        </w:rPr>
        <w:t> </w:t>
      </w:r>
      <w:r>
        <w:rPr/>
        <w:t>trabajo</w:t>
      </w:r>
      <w:r>
        <w:rPr>
          <w:spacing w:val="-14"/>
        </w:rPr>
        <w:t> </w:t>
      </w:r>
      <w:r>
        <w:rPr/>
        <w:t>se</w:t>
      </w:r>
      <w:r>
        <w:rPr>
          <w:spacing w:val="-14"/>
        </w:rPr>
        <w:t> </w:t>
      </w:r>
      <w:r>
        <w:rPr/>
        <w:t>plantea</w:t>
      </w:r>
      <w:r>
        <w:rPr>
          <w:spacing w:val="-20"/>
        </w:rPr>
        <w:t> </w:t>
      </w:r>
      <w:r>
        <w:rPr>
          <w:spacing w:val="-3"/>
        </w:rPr>
        <w:t>la</w:t>
      </w:r>
      <w:r>
        <w:rPr>
          <w:spacing w:val="-14"/>
        </w:rPr>
        <w:t> </w:t>
      </w:r>
      <w:r>
        <w:rPr/>
        <w:t>supresión</w:t>
      </w:r>
      <w:r>
        <w:rPr>
          <w:spacing w:val="-14"/>
        </w:rPr>
        <w:t> </w:t>
      </w:r>
      <w:r>
        <w:rPr/>
        <w:t>de</w:t>
      </w:r>
      <w:r>
        <w:rPr>
          <w:spacing w:val="-15"/>
        </w:rPr>
        <w:t> </w:t>
      </w:r>
      <w:r>
        <w:rPr/>
        <w:t>la</w:t>
      </w:r>
      <w:r>
        <w:rPr>
          <w:spacing w:val="-14"/>
        </w:rPr>
        <w:t> </w:t>
      </w:r>
      <w:r>
        <w:rPr/>
        <w:t>actividad</w:t>
      </w:r>
      <w:r>
        <w:rPr>
          <w:spacing w:val="-20"/>
        </w:rPr>
        <w:t> </w:t>
      </w:r>
      <w:r>
        <w:rPr/>
        <w:t>transcripcional mostrada por los pseudogenes de </w:t>
      </w:r>
      <w:r>
        <w:rPr>
          <w:i/>
        </w:rPr>
        <w:t>Rnf19a </w:t>
      </w:r>
      <w:r>
        <w:rPr/>
        <w:t>en células germinales y somáticas de murino, mediante la eliminación de las regiones promotoras de cada uno de estos pseudogenes, en tres líneas celulares distintas. Esto con el fin de analizar en un trabajo posterior si la red se ve desregulada de alguna manera, afectando a la expresión del mRNA de </w:t>
      </w:r>
      <w:r>
        <w:rPr>
          <w:i/>
        </w:rPr>
        <w:t>Rnf19a </w:t>
      </w:r>
      <w:r>
        <w:rPr/>
        <w:t>o en los niveles de su</w:t>
      </w:r>
      <w:r>
        <w:rPr>
          <w:spacing w:val="2"/>
        </w:rPr>
        <w:t> </w:t>
      </w:r>
      <w:r>
        <w:rPr/>
        <w:t>proteína.</w:t>
      </w:r>
    </w:p>
    <w:p>
      <w:pPr>
        <w:pStyle w:val="BodyText"/>
        <w:spacing w:line="360" w:lineRule="auto" w:before="1"/>
        <w:ind w:left="119" w:right="1332" w:firstLine="245"/>
        <w:jc w:val="both"/>
      </w:pPr>
      <w:r>
        <w:rPr/>
        <w:t>En</w:t>
      </w:r>
      <w:r>
        <w:rPr>
          <w:spacing w:val="-10"/>
        </w:rPr>
        <w:t> </w:t>
      </w:r>
      <w:r>
        <w:rPr/>
        <w:t>la</w:t>
      </w:r>
      <w:r>
        <w:rPr>
          <w:spacing w:val="-10"/>
        </w:rPr>
        <w:t> </w:t>
      </w:r>
      <w:r>
        <w:rPr/>
        <w:t>literatura</w:t>
      </w:r>
      <w:r>
        <w:rPr>
          <w:spacing w:val="-10"/>
        </w:rPr>
        <w:t> </w:t>
      </w:r>
      <w:r>
        <w:rPr/>
        <w:t>existen</w:t>
      </w:r>
      <w:r>
        <w:rPr>
          <w:spacing w:val="-5"/>
        </w:rPr>
        <w:t> </w:t>
      </w:r>
      <w:r>
        <w:rPr/>
        <w:t>otros</w:t>
      </w:r>
      <w:r>
        <w:rPr>
          <w:spacing w:val="-12"/>
        </w:rPr>
        <w:t> </w:t>
      </w:r>
      <w:r>
        <w:rPr/>
        <w:t>ejemplos</w:t>
      </w:r>
      <w:r>
        <w:rPr>
          <w:spacing w:val="-6"/>
        </w:rPr>
        <w:t> </w:t>
      </w:r>
      <w:r>
        <w:rPr/>
        <w:t>de</w:t>
      </w:r>
      <w:r>
        <w:rPr>
          <w:spacing w:val="-11"/>
        </w:rPr>
        <w:t> </w:t>
      </w:r>
      <w:r>
        <w:rPr/>
        <w:t>redes</w:t>
      </w:r>
      <w:r>
        <w:rPr>
          <w:spacing w:val="-7"/>
        </w:rPr>
        <w:t> </w:t>
      </w:r>
      <w:r>
        <w:rPr/>
        <w:t>ceRNA</w:t>
      </w:r>
      <w:r>
        <w:rPr>
          <w:spacing w:val="-4"/>
        </w:rPr>
        <w:t> </w:t>
      </w:r>
      <w:r>
        <w:rPr/>
        <w:t>descritos</w:t>
      </w:r>
      <w:r>
        <w:rPr>
          <w:spacing w:val="-5"/>
        </w:rPr>
        <w:t> </w:t>
      </w:r>
      <w:r>
        <w:rPr/>
        <w:t>y</w:t>
      </w:r>
      <w:r>
        <w:rPr>
          <w:spacing w:val="-5"/>
        </w:rPr>
        <w:t> </w:t>
      </w:r>
      <w:r>
        <w:rPr/>
        <w:t>con</w:t>
      </w:r>
      <w:r>
        <w:rPr>
          <w:spacing w:val="-10"/>
        </w:rPr>
        <w:t> </w:t>
      </w:r>
      <w:r>
        <w:rPr/>
        <w:t>los</w:t>
      </w:r>
      <w:r>
        <w:rPr>
          <w:spacing w:val="-6"/>
        </w:rPr>
        <w:t> </w:t>
      </w:r>
      <w:r>
        <w:rPr/>
        <w:t>cuales</w:t>
      </w:r>
      <w:r>
        <w:rPr>
          <w:spacing w:val="-8"/>
        </w:rPr>
        <w:t> </w:t>
      </w:r>
      <w:r>
        <w:rPr/>
        <w:t>podemos comparar nuestro estudio. Entre ellos podemos mencionar al pseudogen PTENP1, del gen </w:t>
      </w:r>
      <w:r>
        <w:rPr>
          <w:i/>
        </w:rPr>
        <w:t>PTEN </w:t>
      </w:r>
      <w:r>
        <w:rPr/>
        <w:t>y el lncRNA HOTAIR. En un estudio realizado previamente (Vitiello et al., 2020) se logró</w:t>
      </w:r>
      <w:r>
        <w:rPr>
          <w:spacing w:val="-4"/>
        </w:rPr>
        <w:t> </w:t>
      </w:r>
      <w:r>
        <w:rPr/>
        <w:t>el</w:t>
      </w:r>
      <w:r>
        <w:rPr>
          <w:spacing w:val="-3"/>
        </w:rPr>
        <w:t> </w:t>
      </w:r>
      <w:r>
        <w:rPr/>
        <w:t>silenciamiento</w:t>
      </w:r>
      <w:r>
        <w:rPr>
          <w:spacing w:val="-5"/>
        </w:rPr>
        <w:t> </w:t>
      </w:r>
      <w:r>
        <w:rPr/>
        <w:t>del</w:t>
      </w:r>
      <w:r>
        <w:rPr>
          <w:spacing w:val="-3"/>
        </w:rPr>
        <w:t> </w:t>
      </w:r>
      <w:r>
        <w:rPr/>
        <w:t>pseudogen</w:t>
      </w:r>
      <w:r>
        <w:rPr>
          <w:spacing w:val="-4"/>
        </w:rPr>
        <w:t> </w:t>
      </w:r>
      <w:r>
        <w:rPr/>
        <w:t>de</w:t>
      </w:r>
      <w:r>
        <w:rPr>
          <w:spacing w:val="-5"/>
        </w:rPr>
        <w:t> </w:t>
      </w:r>
      <w:r>
        <w:rPr>
          <w:i/>
        </w:rPr>
        <w:t>PTEN</w:t>
      </w:r>
      <w:r>
        <w:rPr>
          <w:i/>
          <w:spacing w:val="-5"/>
        </w:rPr>
        <w:t> </w:t>
      </w:r>
      <w:r>
        <w:rPr/>
        <w:t>mediante</w:t>
      </w:r>
      <w:r>
        <w:rPr>
          <w:spacing w:val="-4"/>
        </w:rPr>
        <w:t> </w:t>
      </w:r>
      <w:r>
        <w:rPr/>
        <w:t>el</w:t>
      </w:r>
      <w:r>
        <w:rPr>
          <w:spacing w:val="-4"/>
        </w:rPr>
        <w:t> </w:t>
      </w:r>
      <w:r>
        <w:rPr/>
        <w:t>uso</w:t>
      </w:r>
      <w:r>
        <w:rPr>
          <w:spacing w:val="-4"/>
        </w:rPr>
        <w:t> </w:t>
      </w:r>
      <w:r>
        <w:rPr/>
        <w:t>del</w:t>
      </w:r>
      <w:r>
        <w:rPr>
          <w:spacing w:val="-4"/>
        </w:rPr>
        <w:t> </w:t>
      </w:r>
      <w:r>
        <w:rPr/>
        <w:t>sistema</w:t>
      </w:r>
      <w:r>
        <w:rPr>
          <w:spacing w:val="-5"/>
        </w:rPr>
        <w:t> </w:t>
      </w:r>
      <w:r>
        <w:rPr/>
        <w:t>CRISPR,</w:t>
      </w:r>
      <w:r>
        <w:rPr>
          <w:spacing w:val="-2"/>
        </w:rPr>
        <w:t> </w:t>
      </w:r>
      <w:r>
        <w:rPr/>
        <w:t>pero</w:t>
      </w:r>
      <w:r>
        <w:rPr>
          <w:spacing w:val="-5"/>
        </w:rPr>
        <w:t> </w:t>
      </w:r>
      <w:r>
        <w:rPr/>
        <w:t>a diferencia de nuestro trabajo ellos utilizan una variación de la endonucleasa Cas, la llamada CasRx, la cual a diferencia de otras endonucleasas como es el caso de Cas 9 no necesita una secuencia PAM aledaña, y además no solo tiene </w:t>
      </w:r>
      <w:r>
        <w:rPr>
          <w:spacing w:val="2"/>
        </w:rPr>
        <w:t>la </w:t>
      </w:r>
      <w:r>
        <w:rPr/>
        <w:t>capacidad de cortar en doble hebra, ya que</w:t>
      </w:r>
      <w:r>
        <w:rPr>
          <w:spacing w:val="-5"/>
        </w:rPr>
        <w:t> </w:t>
      </w:r>
      <w:r>
        <w:rPr/>
        <w:t>se</w:t>
      </w:r>
      <w:r>
        <w:rPr>
          <w:spacing w:val="-4"/>
        </w:rPr>
        <w:t> </w:t>
      </w:r>
      <w:r>
        <w:rPr/>
        <w:t>ha</w:t>
      </w:r>
      <w:r>
        <w:rPr>
          <w:spacing w:val="-5"/>
        </w:rPr>
        <w:t> </w:t>
      </w:r>
      <w:r>
        <w:rPr/>
        <w:t>visto</w:t>
      </w:r>
      <w:r>
        <w:rPr>
          <w:spacing w:val="-3"/>
        </w:rPr>
        <w:t> </w:t>
      </w:r>
      <w:r>
        <w:rPr/>
        <w:t>que</w:t>
      </w:r>
      <w:r>
        <w:rPr>
          <w:spacing w:val="-5"/>
        </w:rPr>
        <w:t> </w:t>
      </w:r>
      <w:r>
        <w:rPr/>
        <w:t>tiene</w:t>
      </w:r>
      <w:r>
        <w:rPr>
          <w:spacing w:val="-5"/>
        </w:rPr>
        <w:t> </w:t>
      </w:r>
      <w:r>
        <w:rPr/>
        <w:t>una</w:t>
      </w:r>
      <w:r>
        <w:rPr>
          <w:spacing w:val="-5"/>
        </w:rPr>
        <w:t> </w:t>
      </w:r>
      <w:r>
        <w:rPr/>
        <w:t>actividad</w:t>
      </w:r>
      <w:r>
        <w:rPr>
          <w:spacing w:val="-4"/>
        </w:rPr>
        <w:t> </w:t>
      </w:r>
      <w:r>
        <w:rPr/>
        <w:t>efectiva</w:t>
      </w:r>
      <w:r>
        <w:rPr>
          <w:spacing w:val="-5"/>
        </w:rPr>
        <w:t> </w:t>
      </w:r>
      <w:r>
        <w:rPr/>
        <w:t>también</w:t>
      </w:r>
      <w:r>
        <w:rPr>
          <w:spacing w:val="-4"/>
        </w:rPr>
        <w:t> </w:t>
      </w:r>
      <w:r>
        <w:rPr/>
        <w:t>cortando</w:t>
      </w:r>
      <w:r>
        <w:rPr>
          <w:spacing w:val="-4"/>
        </w:rPr>
        <w:t> </w:t>
      </w:r>
      <w:r>
        <w:rPr/>
        <w:t>mono</w:t>
      </w:r>
      <w:r>
        <w:rPr>
          <w:spacing w:val="-3"/>
        </w:rPr>
        <w:t> </w:t>
      </w:r>
      <w:r>
        <w:rPr/>
        <w:t>hebra</w:t>
      </w:r>
      <w:r>
        <w:rPr>
          <w:spacing w:val="-6"/>
        </w:rPr>
        <w:t> </w:t>
      </w:r>
      <w:r>
        <w:rPr/>
        <w:t>resultando</w:t>
      </w:r>
      <w:r>
        <w:rPr>
          <w:spacing w:val="-4"/>
        </w:rPr>
        <w:t> </w:t>
      </w:r>
      <w:r>
        <w:rPr/>
        <w:t>útil a</w:t>
      </w:r>
      <w:r>
        <w:rPr>
          <w:spacing w:val="-14"/>
        </w:rPr>
        <w:t> </w:t>
      </w:r>
      <w:r>
        <w:rPr/>
        <w:t>la</w:t>
      </w:r>
      <w:r>
        <w:rPr>
          <w:spacing w:val="-14"/>
        </w:rPr>
        <w:t> </w:t>
      </w:r>
      <w:r>
        <w:rPr/>
        <w:t>hora</w:t>
      </w:r>
      <w:r>
        <w:rPr>
          <w:spacing w:val="-14"/>
        </w:rPr>
        <w:t> </w:t>
      </w:r>
      <w:r>
        <w:rPr/>
        <w:t>de</w:t>
      </w:r>
      <w:r>
        <w:rPr>
          <w:spacing w:val="-14"/>
        </w:rPr>
        <w:t> </w:t>
      </w:r>
      <w:r>
        <w:rPr/>
        <w:t>trabajar</w:t>
      </w:r>
      <w:r>
        <w:rPr>
          <w:spacing w:val="-13"/>
        </w:rPr>
        <w:t> </w:t>
      </w:r>
      <w:r>
        <w:rPr/>
        <w:t>con</w:t>
      </w:r>
      <w:r>
        <w:rPr>
          <w:spacing w:val="-13"/>
        </w:rPr>
        <w:t> </w:t>
      </w:r>
      <w:r>
        <w:rPr/>
        <w:t>secuencias</w:t>
      </w:r>
      <w:r>
        <w:rPr>
          <w:spacing w:val="-16"/>
        </w:rPr>
        <w:t> </w:t>
      </w:r>
      <w:r>
        <w:rPr/>
        <w:t>de</w:t>
      </w:r>
      <w:r>
        <w:rPr>
          <w:spacing w:val="-10"/>
        </w:rPr>
        <w:t> </w:t>
      </w:r>
      <w:r>
        <w:rPr/>
        <w:t>RNA</w:t>
      </w:r>
      <w:r>
        <w:rPr>
          <w:spacing w:val="-11"/>
        </w:rPr>
        <w:t> </w:t>
      </w:r>
      <w:r>
        <w:rPr/>
        <w:t>como</w:t>
      </w:r>
      <w:r>
        <w:rPr>
          <w:spacing w:val="-13"/>
        </w:rPr>
        <w:t> </w:t>
      </w:r>
      <w:r>
        <w:rPr/>
        <w:t>se</w:t>
      </w:r>
      <w:r>
        <w:rPr>
          <w:spacing w:val="-14"/>
        </w:rPr>
        <w:t> </w:t>
      </w:r>
      <w:r>
        <w:rPr/>
        <w:t>ha</w:t>
      </w:r>
      <w:r>
        <w:rPr>
          <w:spacing w:val="-14"/>
        </w:rPr>
        <w:t> </w:t>
      </w:r>
      <w:r>
        <w:rPr/>
        <w:t>descrito</w:t>
      </w:r>
      <w:r>
        <w:rPr>
          <w:spacing w:val="-13"/>
        </w:rPr>
        <w:t> </w:t>
      </w:r>
      <w:r>
        <w:rPr/>
        <w:t>en</w:t>
      </w:r>
      <w:r>
        <w:rPr>
          <w:spacing w:val="-12"/>
        </w:rPr>
        <w:t> </w:t>
      </w:r>
      <w:r>
        <w:rPr/>
        <w:t>(Konermann</w:t>
      </w:r>
      <w:r>
        <w:rPr>
          <w:spacing w:val="-14"/>
        </w:rPr>
        <w:t> </w:t>
      </w:r>
      <w:r>
        <w:rPr/>
        <w:t>et</w:t>
      </w:r>
      <w:r>
        <w:rPr>
          <w:spacing w:val="2"/>
        </w:rPr>
        <w:t> </w:t>
      </w:r>
      <w:r>
        <w:rPr/>
        <w:t>al.,</w:t>
      </w:r>
      <w:r>
        <w:rPr>
          <w:spacing w:val="-11"/>
        </w:rPr>
        <w:t> </w:t>
      </w:r>
      <w:r>
        <w:rPr/>
        <w:t>2018). El planteamiento en su estudio es similar al nuestro, la supresión de la actividad transcripcional del pseudogen, en su caso PTENP1. Para esto utilizan dos métodos, primero un silenciamiento de la expresión de PTENP1 mediante el uso de RNAs pequeños interferentes</w:t>
      </w:r>
      <w:r>
        <w:rPr>
          <w:spacing w:val="11"/>
        </w:rPr>
        <w:t> </w:t>
      </w:r>
      <w:r>
        <w:rPr/>
        <w:t>(siRNA),</w:t>
      </w:r>
      <w:r>
        <w:rPr>
          <w:spacing w:val="17"/>
        </w:rPr>
        <w:t> </w:t>
      </w:r>
      <w:r>
        <w:rPr/>
        <w:t>en</w:t>
      </w:r>
      <w:r>
        <w:rPr>
          <w:spacing w:val="15"/>
        </w:rPr>
        <w:t> </w:t>
      </w:r>
      <w:r>
        <w:rPr/>
        <w:t>el</w:t>
      </w:r>
      <w:r>
        <w:rPr>
          <w:spacing w:val="16"/>
        </w:rPr>
        <w:t> </w:t>
      </w:r>
      <w:r>
        <w:rPr/>
        <w:t>cual</w:t>
      </w:r>
      <w:r>
        <w:rPr>
          <w:spacing w:val="16"/>
        </w:rPr>
        <w:t> </w:t>
      </w:r>
      <w:r>
        <w:rPr/>
        <w:t>concluyen</w:t>
      </w:r>
      <w:r>
        <w:rPr>
          <w:spacing w:val="15"/>
        </w:rPr>
        <w:t> </w:t>
      </w:r>
      <w:r>
        <w:rPr/>
        <w:t>que</w:t>
      </w:r>
      <w:r>
        <w:rPr>
          <w:spacing w:val="19"/>
        </w:rPr>
        <w:t> </w:t>
      </w:r>
      <w:r>
        <w:rPr/>
        <w:t>el</w:t>
      </w:r>
      <w:r>
        <w:rPr>
          <w:spacing w:val="16"/>
        </w:rPr>
        <w:t> </w:t>
      </w:r>
      <w:r>
        <w:rPr/>
        <w:t>uso</w:t>
      </w:r>
      <w:r>
        <w:rPr>
          <w:spacing w:val="15"/>
        </w:rPr>
        <w:t> </w:t>
      </w:r>
      <w:r>
        <w:rPr/>
        <w:t>de</w:t>
      </w:r>
      <w:r>
        <w:rPr>
          <w:spacing w:val="14"/>
        </w:rPr>
        <w:t> </w:t>
      </w:r>
      <w:r>
        <w:rPr/>
        <w:t>4</w:t>
      </w:r>
      <w:r>
        <w:rPr>
          <w:spacing w:val="15"/>
        </w:rPr>
        <w:t> </w:t>
      </w:r>
      <w:r>
        <w:rPr/>
        <w:t>de</w:t>
      </w:r>
      <w:r>
        <w:rPr>
          <w:spacing w:val="14"/>
        </w:rPr>
        <w:t> </w:t>
      </w:r>
      <w:r>
        <w:rPr/>
        <w:t>estos</w:t>
      </w:r>
      <w:r>
        <w:rPr>
          <w:spacing w:val="17"/>
        </w:rPr>
        <w:t> </w:t>
      </w:r>
      <w:r>
        <w:rPr/>
        <w:t>en</w:t>
      </w:r>
      <w:r>
        <w:rPr>
          <w:spacing w:val="15"/>
        </w:rPr>
        <w:t> </w:t>
      </w:r>
      <w:r>
        <w:rPr/>
        <w:t>un</w:t>
      </w:r>
      <w:r>
        <w:rPr>
          <w:spacing w:val="15"/>
        </w:rPr>
        <w:t> </w:t>
      </w:r>
      <w:r>
        <w:rPr/>
        <w:t>mix</w:t>
      </w:r>
      <w:r>
        <w:rPr>
          <w:spacing w:val="15"/>
        </w:rPr>
        <w:t> </w:t>
      </w:r>
      <w:r>
        <w:rPr/>
        <w:t>genera</w:t>
      </w:r>
      <w:r>
        <w:rPr>
          <w:spacing w:val="19"/>
        </w:rPr>
        <w:t> </w:t>
      </w:r>
      <w:r>
        <w:rPr/>
        <w:t>los</w:t>
      </w:r>
    </w:p>
    <w:p>
      <w:pPr>
        <w:spacing w:after="0" w:line="360" w:lineRule="auto"/>
        <w:jc w:val="both"/>
        <w:sectPr>
          <w:pgSz w:w="12240" w:h="15840"/>
          <w:pgMar w:header="7" w:footer="0" w:top="1040" w:bottom="280" w:left="1580" w:right="360"/>
        </w:sectPr>
      </w:pPr>
    </w:p>
    <w:p>
      <w:pPr>
        <w:pStyle w:val="BodyText"/>
        <w:spacing w:line="360" w:lineRule="auto" w:before="80"/>
        <w:ind w:left="119" w:right="1333"/>
        <w:jc w:val="both"/>
      </w:pPr>
      <w:r>
        <w:rPr/>
        <w:t>mejores</w:t>
      </w:r>
      <w:r>
        <w:rPr>
          <w:spacing w:val="-17"/>
        </w:rPr>
        <w:t> </w:t>
      </w:r>
      <w:r>
        <w:rPr/>
        <w:t>resultados,</w:t>
      </w:r>
      <w:r>
        <w:rPr>
          <w:spacing w:val="-11"/>
        </w:rPr>
        <w:t> </w:t>
      </w:r>
      <w:r>
        <w:rPr/>
        <w:t>y</w:t>
      </w:r>
      <w:r>
        <w:rPr>
          <w:spacing w:val="-13"/>
        </w:rPr>
        <w:t> </w:t>
      </w:r>
      <w:r>
        <w:rPr/>
        <w:t>luego</w:t>
      </w:r>
      <w:r>
        <w:rPr>
          <w:spacing w:val="-19"/>
        </w:rPr>
        <w:t> </w:t>
      </w:r>
      <w:r>
        <w:rPr/>
        <w:t>utilizando</w:t>
      </w:r>
      <w:r>
        <w:rPr>
          <w:spacing w:val="-18"/>
        </w:rPr>
        <w:t> </w:t>
      </w:r>
      <w:r>
        <w:rPr/>
        <w:t>la</w:t>
      </w:r>
      <w:r>
        <w:rPr>
          <w:spacing w:val="-14"/>
        </w:rPr>
        <w:t> </w:t>
      </w:r>
      <w:r>
        <w:rPr/>
        <w:t>técnica</w:t>
      </w:r>
      <w:r>
        <w:rPr>
          <w:spacing w:val="-15"/>
        </w:rPr>
        <w:t> </w:t>
      </w:r>
      <w:r>
        <w:rPr/>
        <w:t>CRISPR.</w:t>
      </w:r>
      <w:r>
        <w:rPr>
          <w:spacing w:val="-17"/>
        </w:rPr>
        <w:t> </w:t>
      </w:r>
      <w:r>
        <w:rPr/>
        <w:t>Pero</w:t>
      </w:r>
      <w:r>
        <w:rPr>
          <w:spacing w:val="-13"/>
        </w:rPr>
        <w:t> </w:t>
      </w:r>
      <w:r>
        <w:rPr/>
        <w:t>a</w:t>
      </w:r>
      <w:r>
        <w:rPr>
          <w:spacing w:val="-19"/>
        </w:rPr>
        <w:t> </w:t>
      </w:r>
      <w:r>
        <w:rPr/>
        <w:t>diferencia</w:t>
      </w:r>
      <w:r>
        <w:rPr>
          <w:spacing w:val="-17"/>
        </w:rPr>
        <w:t> </w:t>
      </w:r>
      <w:r>
        <w:rPr/>
        <w:t>de</w:t>
      </w:r>
      <w:r>
        <w:rPr>
          <w:spacing w:val="-14"/>
        </w:rPr>
        <w:t> </w:t>
      </w:r>
      <w:r>
        <w:rPr/>
        <w:t>nuestro</w:t>
      </w:r>
      <w:r>
        <w:rPr>
          <w:spacing w:val="-18"/>
        </w:rPr>
        <w:t> </w:t>
      </w:r>
      <w:r>
        <w:rPr/>
        <w:t>trabajo en el que realizamos un knockout (eliminando la secuencia promotora), ellos realizan un knockin,</w:t>
      </w:r>
      <w:r>
        <w:rPr>
          <w:spacing w:val="-6"/>
        </w:rPr>
        <w:t> </w:t>
      </w:r>
      <w:r>
        <w:rPr/>
        <w:t>integrando</w:t>
      </w:r>
      <w:r>
        <w:rPr>
          <w:spacing w:val="-9"/>
        </w:rPr>
        <w:t> </w:t>
      </w:r>
      <w:r>
        <w:rPr/>
        <w:t>una</w:t>
      </w:r>
      <w:r>
        <w:rPr>
          <w:spacing w:val="-9"/>
        </w:rPr>
        <w:t> </w:t>
      </w:r>
      <w:r>
        <w:rPr/>
        <w:t>secuencia</w:t>
      </w:r>
      <w:r>
        <w:rPr>
          <w:spacing w:val="-9"/>
        </w:rPr>
        <w:t> </w:t>
      </w:r>
      <w:r>
        <w:rPr/>
        <w:t>que</w:t>
      </w:r>
      <w:r>
        <w:rPr>
          <w:spacing w:val="-9"/>
        </w:rPr>
        <w:t> </w:t>
      </w:r>
      <w:r>
        <w:rPr/>
        <w:t>codifica</w:t>
      </w:r>
      <w:r>
        <w:rPr>
          <w:spacing w:val="-10"/>
        </w:rPr>
        <w:t> </w:t>
      </w:r>
      <w:r>
        <w:rPr/>
        <w:t>para</w:t>
      </w:r>
      <w:r>
        <w:rPr>
          <w:spacing w:val="-10"/>
        </w:rPr>
        <w:t> </w:t>
      </w:r>
      <w:r>
        <w:rPr/>
        <w:t>proteína</w:t>
      </w:r>
      <w:r>
        <w:rPr>
          <w:spacing w:val="-9"/>
        </w:rPr>
        <w:t> </w:t>
      </w:r>
      <w:r>
        <w:rPr/>
        <w:t>verde</w:t>
      </w:r>
      <w:r>
        <w:rPr>
          <w:spacing w:val="-10"/>
        </w:rPr>
        <w:t> </w:t>
      </w:r>
      <w:r>
        <w:rPr/>
        <w:t>fluorescente,</w:t>
      </w:r>
      <w:r>
        <w:rPr>
          <w:spacing w:val="-6"/>
        </w:rPr>
        <w:t> </w:t>
      </w:r>
      <w:r>
        <w:rPr/>
        <w:t>impidiendo así la transcripción del pseudogen y por lo tanto validando mediante la fluorescencia la efectividad de su método. Luego de logrado el knockin PTENP1, midieron mediante qRT- PCR los niveles de expresión del gen parental </w:t>
      </w:r>
      <w:r>
        <w:rPr>
          <w:i/>
        </w:rPr>
        <w:t>PTEN</w:t>
      </w:r>
      <w:r>
        <w:rPr/>
        <w:t>, y con la técnica WB los niveles de proteína de este mismo, confirmando mediante la desregulación de estos parámetros el rol fundamental</w:t>
      </w:r>
      <w:r>
        <w:rPr>
          <w:spacing w:val="-6"/>
        </w:rPr>
        <w:t> </w:t>
      </w:r>
      <w:r>
        <w:rPr/>
        <w:t>del</w:t>
      </w:r>
      <w:r>
        <w:rPr>
          <w:spacing w:val="-10"/>
        </w:rPr>
        <w:t> </w:t>
      </w:r>
      <w:r>
        <w:rPr/>
        <w:t>pseudogen</w:t>
      </w:r>
      <w:r>
        <w:rPr>
          <w:spacing w:val="-6"/>
        </w:rPr>
        <w:t> </w:t>
      </w:r>
      <w:r>
        <w:rPr/>
        <w:t>PTENP1</w:t>
      </w:r>
      <w:r>
        <w:rPr>
          <w:spacing w:val="-10"/>
        </w:rPr>
        <w:t> </w:t>
      </w:r>
      <w:r>
        <w:rPr/>
        <w:t>en</w:t>
      </w:r>
      <w:r>
        <w:rPr>
          <w:spacing w:val="-11"/>
        </w:rPr>
        <w:t> </w:t>
      </w:r>
      <w:r>
        <w:rPr/>
        <w:t>la</w:t>
      </w:r>
      <w:r>
        <w:rPr>
          <w:spacing w:val="-15"/>
        </w:rPr>
        <w:t> </w:t>
      </w:r>
      <w:r>
        <w:rPr/>
        <w:t>red</w:t>
      </w:r>
      <w:r>
        <w:rPr>
          <w:spacing w:val="-7"/>
        </w:rPr>
        <w:t> </w:t>
      </w:r>
      <w:r>
        <w:rPr/>
        <w:t>ceRNA.</w:t>
      </w:r>
      <w:r>
        <w:rPr>
          <w:spacing w:val="-2"/>
        </w:rPr>
        <w:t> </w:t>
      </w:r>
      <w:r>
        <w:rPr/>
        <w:t>Similares</w:t>
      </w:r>
      <w:r>
        <w:rPr>
          <w:spacing w:val="-8"/>
        </w:rPr>
        <w:t> </w:t>
      </w:r>
      <w:r>
        <w:rPr/>
        <w:t>ensayos</w:t>
      </w:r>
      <w:r>
        <w:rPr>
          <w:spacing w:val="-8"/>
        </w:rPr>
        <w:t> </w:t>
      </w:r>
      <w:r>
        <w:rPr/>
        <w:t>se</w:t>
      </w:r>
      <w:r>
        <w:rPr>
          <w:spacing w:val="-12"/>
        </w:rPr>
        <w:t> </w:t>
      </w:r>
      <w:r>
        <w:rPr/>
        <w:t>deberán</w:t>
      </w:r>
      <w:r>
        <w:rPr>
          <w:spacing w:val="-8"/>
        </w:rPr>
        <w:t> </w:t>
      </w:r>
      <w:r>
        <w:rPr/>
        <w:t>realizar con las células mutantes que hemos generado en este trabajo a fin de validar la función de los pseudogenes en la posible red ceRNA en la que pensamos participan junto con el transcrito de</w:t>
      </w:r>
      <w:r>
        <w:rPr>
          <w:spacing w:val="4"/>
        </w:rPr>
        <w:t> </w:t>
      </w:r>
      <w:r>
        <w:rPr>
          <w:i/>
        </w:rPr>
        <w:t>Rnf19a</w:t>
      </w:r>
      <w:r>
        <w:rPr/>
        <w:t>.</w:t>
      </w:r>
    </w:p>
    <w:p>
      <w:pPr>
        <w:pStyle w:val="BodyText"/>
        <w:spacing w:line="360" w:lineRule="auto" w:before="3"/>
        <w:ind w:left="119" w:right="1336" w:firstLine="62"/>
        <w:jc w:val="both"/>
      </w:pPr>
      <w:r>
        <w:rPr/>
        <w:t>Por otra parte, en el caso del lncRNA HOTAIR, también se ha demostrado que participa en redes de regulación tipo ceRNA (Zhou et al., 2014), y la estrategia ocupada por los autores (Zhang et al., 2020) es la de lograr el knockout de HOTAIR mediante el uso de siRNAs, demostrando que también es una estrategia efectiva a la hora de impedir la actividad transcripcional de este tipo de RNA.</w:t>
      </w:r>
    </w:p>
    <w:p>
      <w:pPr>
        <w:pStyle w:val="BodyText"/>
        <w:spacing w:line="360" w:lineRule="auto"/>
        <w:ind w:left="119" w:right="1336" w:firstLine="302"/>
        <w:jc w:val="both"/>
      </w:pPr>
      <w:r>
        <w:rPr/>
        <w:t>Nosotros sin embargo y como se ha establecido previamente optamos por la estrategia</w:t>
      </w:r>
      <w:r>
        <w:rPr>
          <w:spacing w:val="-38"/>
        </w:rPr>
        <w:t> </w:t>
      </w:r>
      <w:r>
        <w:rPr/>
        <w:t>de la edición genómica basada en el sistema</w:t>
      </w:r>
      <w:r>
        <w:rPr>
          <w:spacing w:val="7"/>
        </w:rPr>
        <w:t> </w:t>
      </w:r>
      <w:r>
        <w:rPr/>
        <w:t>CRISPR-Cas9.</w:t>
      </w:r>
    </w:p>
    <w:p>
      <w:pPr>
        <w:pStyle w:val="BodyText"/>
        <w:spacing w:line="360" w:lineRule="auto" w:before="2"/>
        <w:ind w:left="119" w:right="1333" w:firstLine="302"/>
        <w:jc w:val="both"/>
      </w:pPr>
      <w:r>
        <w:rPr/>
        <w:t>CRISPR/Cas9</w:t>
      </w:r>
      <w:r>
        <w:rPr>
          <w:spacing w:val="-5"/>
        </w:rPr>
        <w:t> </w:t>
      </w:r>
      <w:r>
        <w:rPr/>
        <w:t>es</w:t>
      </w:r>
      <w:r>
        <w:rPr>
          <w:spacing w:val="-6"/>
        </w:rPr>
        <w:t> </w:t>
      </w:r>
      <w:r>
        <w:rPr/>
        <w:t>una</w:t>
      </w:r>
      <w:r>
        <w:rPr>
          <w:spacing w:val="-6"/>
        </w:rPr>
        <w:t> </w:t>
      </w:r>
      <w:r>
        <w:rPr/>
        <w:t>potente</w:t>
      </w:r>
      <w:r>
        <w:rPr>
          <w:spacing w:val="-5"/>
        </w:rPr>
        <w:t> </w:t>
      </w:r>
      <w:r>
        <w:rPr/>
        <w:t>herramienta</w:t>
      </w:r>
      <w:r>
        <w:rPr>
          <w:spacing w:val="-5"/>
        </w:rPr>
        <w:t> </w:t>
      </w:r>
      <w:r>
        <w:rPr/>
        <w:t>de</w:t>
      </w:r>
      <w:r>
        <w:rPr>
          <w:spacing w:val="-5"/>
        </w:rPr>
        <w:t> </w:t>
      </w:r>
      <w:r>
        <w:rPr/>
        <w:t>edición</w:t>
      </w:r>
      <w:r>
        <w:rPr>
          <w:spacing w:val="-5"/>
        </w:rPr>
        <w:t> </w:t>
      </w:r>
      <w:r>
        <w:rPr/>
        <w:t>genómica</w:t>
      </w:r>
      <w:r>
        <w:rPr>
          <w:spacing w:val="-5"/>
        </w:rPr>
        <w:t> </w:t>
      </w:r>
      <w:r>
        <w:rPr/>
        <w:t>que</w:t>
      </w:r>
      <w:r>
        <w:rPr>
          <w:spacing w:val="-6"/>
        </w:rPr>
        <w:t> </w:t>
      </w:r>
      <w:r>
        <w:rPr/>
        <w:t>ha</w:t>
      </w:r>
      <w:r>
        <w:rPr>
          <w:spacing w:val="-5"/>
        </w:rPr>
        <w:t> </w:t>
      </w:r>
      <w:r>
        <w:rPr/>
        <w:t>permitido</w:t>
      </w:r>
      <w:r>
        <w:rPr>
          <w:spacing w:val="-9"/>
        </w:rPr>
        <w:t> </w:t>
      </w:r>
      <w:r>
        <w:rPr/>
        <w:t>llevar</w:t>
      </w:r>
      <w:r>
        <w:rPr>
          <w:spacing w:val="-3"/>
        </w:rPr>
        <w:t> </w:t>
      </w:r>
      <w:r>
        <w:rPr/>
        <w:t>la manipulación genética al siguiente nivel. Esta herramienta resulta bastante útil por su capacidad de eliminar secuencias a través de un RNA guía (gRNA). El problema surge en que este método no es práctico a la hora de editar elementos genómicos que no codifican, como lo son los miRNAS y los pseudogenes, puesto que una mutación de tipo indel no generan los mismos cambios de la manera en que ocurren en secuencias que codifican para proteínas. En el trabajo presente se utilizó al igual que otros autores (J. Han et al., 2014) un par de gRNAs para eliminar una región completa del genoma. En nuestro caso para evitar</w:t>
      </w:r>
      <w:r>
        <w:rPr>
          <w:spacing w:val="-28"/>
        </w:rPr>
        <w:t> </w:t>
      </w:r>
      <w:r>
        <w:rPr/>
        <w:t>la transcripción de los 3 pseudogenes. La diferencia entre nuestro trabajo y el de Jinxiong Han radica en que el método que utilizamos para transfectar fue a través de liposomas en cultivo celular. Por el contrario, ellos utilizaron inyecciones directamente a embriones de ratón en etapa de una célula. Al momento de comprobar la correcta edición genómica se utilizó el mismo método descrito previemante (Pulido-Quetglas et al., 2017), o sea un par de</w:t>
      </w:r>
      <w:r>
        <w:rPr>
          <w:spacing w:val="5"/>
        </w:rPr>
        <w:t> </w:t>
      </w:r>
      <w:r>
        <w:rPr/>
        <w:t>primers</w:t>
      </w:r>
    </w:p>
    <w:p>
      <w:pPr>
        <w:spacing w:after="0" w:line="360" w:lineRule="auto"/>
        <w:jc w:val="both"/>
        <w:sectPr>
          <w:pgSz w:w="12240" w:h="15840"/>
          <w:pgMar w:header="7" w:footer="0" w:top="1040" w:bottom="280" w:left="1580" w:right="360"/>
        </w:sectPr>
      </w:pPr>
    </w:p>
    <w:p>
      <w:pPr>
        <w:pStyle w:val="BodyText"/>
        <w:spacing w:line="360" w:lineRule="auto" w:before="80"/>
        <w:ind w:left="119" w:right="1333"/>
        <w:jc w:val="both"/>
      </w:pPr>
      <w:r>
        <w:rPr/>
        <w:t>que flanquean la zona del corte hecho por CRISPR. Esto fue hecho así con el fin de comprobar mediante la obtención de un amplicón de menor tamaño producto de la unión de los extremos de la secuencia en la zona en donde se produjo el corte. Los resultados demostraron que es posible validar los resultados de esta manera, puesto que el amplicón generado por la secuencia sin editar es de un tamaño mucho mayor y no aparece como producto de PCR. Por otra parte, a diferencia de (Pulido-Quetglas et al., 2017), que utilizan el plásmido pDECKO que permite la expresión de ambos sgRNAs, en el presente trabajo se utilizó</w:t>
      </w:r>
      <w:r>
        <w:rPr>
          <w:spacing w:val="-2"/>
        </w:rPr>
        <w:t> </w:t>
      </w:r>
      <w:r>
        <w:rPr/>
        <w:t>eSpCas9(1.1)-T2A.</w:t>
      </w:r>
      <w:r>
        <w:rPr>
          <w:spacing w:val="-3"/>
        </w:rPr>
        <w:t> </w:t>
      </w:r>
      <w:r>
        <w:rPr/>
        <w:t>el</w:t>
      </w:r>
      <w:r>
        <w:rPr>
          <w:spacing w:val="-1"/>
        </w:rPr>
        <w:t> </w:t>
      </w:r>
      <w:r>
        <w:rPr/>
        <w:t>cual</w:t>
      </w:r>
      <w:r>
        <w:rPr>
          <w:spacing w:val="-6"/>
        </w:rPr>
        <w:t> </w:t>
      </w:r>
      <w:r>
        <w:rPr/>
        <w:t>solo</w:t>
      </w:r>
      <w:r>
        <w:rPr>
          <w:spacing w:val="-6"/>
        </w:rPr>
        <w:t> </w:t>
      </w:r>
      <w:r>
        <w:rPr/>
        <w:t>permite</w:t>
      </w:r>
      <w:r>
        <w:rPr>
          <w:spacing w:val="-7"/>
        </w:rPr>
        <w:t> </w:t>
      </w:r>
      <w:r>
        <w:rPr/>
        <w:t>la</w:t>
      </w:r>
      <w:r>
        <w:rPr>
          <w:spacing w:val="-7"/>
        </w:rPr>
        <w:t> </w:t>
      </w:r>
      <w:r>
        <w:rPr/>
        <w:t>expresión</w:t>
      </w:r>
      <w:r>
        <w:rPr>
          <w:spacing w:val="-1"/>
        </w:rPr>
        <w:t> </w:t>
      </w:r>
      <w:r>
        <w:rPr/>
        <w:t>de</w:t>
      </w:r>
      <w:r>
        <w:rPr>
          <w:spacing w:val="-6"/>
        </w:rPr>
        <w:t> </w:t>
      </w:r>
      <w:r>
        <w:rPr/>
        <w:t>un</w:t>
      </w:r>
      <w:r>
        <w:rPr>
          <w:spacing w:val="-1"/>
        </w:rPr>
        <w:t> </w:t>
      </w:r>
      <w:r>
        <w:rPr/>
        <w:t>sgRNA</w:t>
      </w:r>
      <w:r>
        <w:rPr>
          <w:spacing w:val="-2"/>
        </w:rPr>
        <w:t> </w:t>
      </w:r>
      <w:r>
        <w:rPr/>
        <w:t>por</w:t>
      </w:r>
      <w:r>
        <w:rPr>
          <w:spacing w:val="-4"/>
        </w:rPr>
        <w:t> </w:t>
      </w:r>
      <w:r>
        <w:rPr/>
        <w:t>plásmido.</w:t>
      </w:r>
      <w:r>
        <w:rPr>
          <w:spacing w:val="-4"/>
        </w:rPr>
        <w:t> </w:t>
      </w:r>
      <w:r>
        <w:rPr/>
        <w:t>Por tanto, al momento de transfectar se debieron usar dos construcciones diferentes simultáneamente. Esto también se demuestra que </w:t>
      </w:r>
      <w:r>
        <w:rPr>
          <w:spacing w:val="-3"/>
        </w:rPr>
        <w:t>no </w:t>
      </w:r>
      <w:r>
        <w:rPr/>
        <w:t>es necesaria la co-expresión de estas</w:t>
      </w:r>
      <w:r>
        <w:rPr>
          <w:spacing w:val="-29"/>
        </w:rPr>
        <w:t> </w:t>
      </w:r>
      <w:r>
        <w:rPr/>
        <w:t>en un plásmido para lograr el mismo efecto a nivel de cultivo celular. En otra investigación realizada</w:t>
      </w:r>
      <w:r>
        <w:rPr>
          <w:spacing w:val="-11"/>
        </w:rPr>
        <w:t> </w:t>
      </w:r>
      <w:r>
        <w:rPr/>
        <w:t>por</w:t>
      </w:r>
      <w:r>
        <w:rPr>
          <w:spacing w:val="-8"/>
        </w:rPr>
        <w:t> </w:t>
      </w:r>
      <w:r>
        <w:rPr/>
        <w:t>(Ho</w:t>
      </w:r>
      <w:r>
        <w:rPr>
          <w:spacing w:val="-9"/>
        </w:rPr>
        <w:t> </w:t>
      </w:r>
      <w:r>
        <w:rPr/>
        <w:t>et al.,</w:t>
      </w:r>
      <w:r>
        <w:rPr>
          <w:spacing w:val="-8"/>
        </w:rPr>
        <w:t> </w:t>
      </w:r>
      <w:r>
        <w:rPr/>
        <w:t>2015)</w:t>
      </w:r>
      <w:r>
        <w:rPr>
          <w:spacing w:val="-7"/>
        </w:rPr>
        <w:t> </w:t>
      </w:r>
      <w:r>
        <w:rPr/>
        <w:t>se</w:t>
      </w:r>
      <w:r>
        <w:rPr>
          <w:spacing w:val="-11"/>
        </w:rPr>
        <w:t> </w:t>
      </w:r>
      <w:r>
        <w:rPr/>
        <w:t>decide</w:t>
      </w:r>
      <w:r>
        <w:rPr>
          <w:spacing w:val="-10"/>
        </w:rPr>
        <w:t> </w:t>
      </w:r>
      <w:r>
        <w:rPr/>
        <w:t>generar</w:t>
      </w:r>
      <w:r>
        <w:rPr>
          <w:spacing w:val="-8"/>
        </w:rPr>
        <w:t> </w:t>
      </w:r>
      <w:r>
        <w:rPr/>
        <w:t>knockouts</w:t>
      </w:r>
      <w:r>
        <w:rPr>
          <w:spacing w:val="-11"/>
        </w:rPr>
        <w:t> </w:t>
      </w:r>
      <w:r>
        <w:rPr/>
        <w:t>tanto</w:t>
      </w:r>
      <w:r>
        <w:rPr>
          <w:spacing w:val="-10"/>
        </w:rPr>
        <w:t> </w:t>
      </w:r>
      <w:r>
        <w:rPr/>
        <w:t>de</w:t>
      </w:r>
      <w:r>
        <w:rPr>
          <w:spacing w:val="-11"/>
        </w:rPr>
        <w:t> </w:t>
      </w:r>
      <w:r>
        <w:rPr/>
        <w:t>miRNAs</w:t>
      </w:r>
      <w:r>
        <w:rPr>
          <w:spacing w:val="-12"/>
        </w:rPr>
        <w:t> </w:t>
      </w:r>
      <w:r>
        <w:rPr/>
        <w:t>como</w:t>
      </w:r>
      <w:r>
        <w:rPr>
          <w:spacing w:val="-9"/>
        </w:rPr>
        <w:t> </w:t>
      </w:r>
      <w:r>
        <w:rPr/>
        <w:t>lncRNAs adoptando distintos métodos para así comprobar cual resultaba más efectivo. En el caso particular del lncRNA UCA1, deciden utilizar en un comienzo un solo gRNA, obteniendo mutantes pero no logrando el knockout, es por esto que se decide usar al igual que en este trabajo el método de dos gRNAs, validando la generación del silenciamiento de la misma manera que se propuso en este trabajo, o sea utilizando un par de primers que flaquean por fuera de la zona de corte, demostrando que este método resulta eficaz a la hora de evitar la expresión de RNAs no codificantes</w:t>
      </w:r>
      <w:r>
        <w:rPr>
          <w:spacing w:val="3"/>
        </w:rPr>
        <w:t> </w:t>
      </w:r>
      <w:r>
        <w:rPr/>
        <w:t>largos.</w:t>
      </w:r>
    </w:p>
    <w:p>
      <w:pPr>
        <w:pStyle w:val="BodyText"/>
        <w:spacing w:line="360" w:lineRule="auto" w:before="4"/>
        <w:ind w:left="119" w:right="1331" w:firstLine="302"/>
        <w:jc w:val="both"/>
      </w:pPr>
      <w:r>
        <w:rPr/>
        <w:t>Un problema presente en la edición ya sea de genes o pseudogenes, es la presencia de la actividad off-target, como ambas secuencias presentan un gran grado de homología entre sí, a</w:t>
      </w:r>
      <w:r>
        <w:rPr>
          <w:spacing w:val="-11"/>
        </w:rPr>
        <w:t> </w:t>
      </w:r>
      <w:r>
        <w:rPr/>
        <w:t>veces</w:t>
      </w:r>
      <w:r>
        <w:rPr>
          <w:spacing w:val="-10"/>
        </w:rPr>
        <w:t> </w:t>
      </w:r>
      <w:r>
        <w:rPr/>
        <w:t>puede</w:t>
      </w:r>
      <w:r>
        <w:rPr>
          <w:spacing w:val="-10"/>
        </w:rPr>
        <w:t> </w:t>
      </w:r>
      <w:r>
        <w:rPr/>
        <w:t>presentarse</w:t>
      </w:r>
      <w:r>
        <w:rPr>
          <w:spacing w:val="-10"/>
        </w:rPr>
        <w:t> </w:t>
      </w:r>
      <w:r>
        <w:rPr/>
        <w:t>problemas</w:t>
      </w:r>
      <w:r>
        <w:rPr>
          <w:spacing w:val="-11"/>
        </w:rPr>
        <w:t> </w:t>
      </w:r>
      <w:r>
        <w:rPr/>
        <w:t>de</w:t>
      </w:r>
      <w:r>
        <w:rPr>
          <w:spacing w:val="-10"/>
        </w:rPr>
        <w:t> </w:t>
      </w:r>
      <w:r>
        <w:rPr/>
        <w:t>edición</w:t>
      </w:r>
      <w:r>
        <w:rPr>
          <w:spacing w:val="-9"/>
        </w:rPr>
        <w:t> </w:t>
      </w:r>
      <w:r>
        <w:rPr/>
        <w:t>no</w:t>
      </w:r>
      <w:r>
        <w:rPr>
          <w:spacing w:val="-4"/>
        </w:rPr>
        <w:t> </w:t>
      </w:r>
      <w:r>
        <w:rPr/>
        <w:t>deseada</w:t>
      </w:r>
      <w:r>
        <w:rPr>
          <w:spacing w:val="-10"/>
        </w:rPr>
        <w:t> </w:t>
      </w:r>
      <w:r>
        <w:rPr/>
        <w:t>en</w:t>
      </w:r>
      <w:r>
        <w:rPr>
          <w:spacing w:val="-9"/>
        </w:rPr>
        <w:t> </w:t>
      </w:r>
      <w:r>
        <w:rPr/>
        <w:t>otras</w:t>
      </w:r>
      <w:r>
        <w:rPr>
          <w:spacing w:val="-11"/>
        </w:rPr>
        <w:t> </w:t>
      </w:r>
      <w:r>
        <w:rPr/>
        <w:t>regiones</w:t>
      </w:r>
      <w:r>
        <w:rPr>
          <w:spacing w:val="-11"/>
        </w:rPr>
        <w:t> </w:t>
      </w:r>
      <w:r>
        <w:rPr/>
        <w:t>del</w:t>
      </w:r>
      <w:r>
        <w:rPr>
          <w:spacing w:val="-8"/>
        </w:rPr>
        <w:t> </w:t>
      </w:r>
      <w:r>
        <w:rPr/>
        <w:t>genoma.</w:t>
      </w:r>
      <w:r>
        <w:rPr>
          <w:spacing w:val="-7"/>
        </w:rPr>
        <w:t> </w:t>
      </w:r>
      <w:r>
        <w:rPr/>
        <w:t>En un trabajo previo (Hanss et al., 2020) se utiliza una estrategia distinta a nuestro trabajo, ya que ellos editaron el gen </w:t>
      </w:r>
      <w:r>
        <w:rPr>
          <w:i/>
        </w:rPr>
        <w:t>GBA </w:t>
      </w:r>
      <w:r>
        <w:rPr/>
        <w:t>y debido a la gran similitud en la región editada con regiones presente en su pseudogen GBA1 tuvieron que validar un método en el cual no ocurriera la actividad</w:t>
      </w:r>
      <w:r>
        <w:rPr>
          <w:spacing w:val="-5"/>
        </w:rPr>
        <w:t> </w:t>
      </w:r>
      <w:r>
        <w:rPr/>
        <w:t>off-target.</w:t>
      </w:r>
      <w:r>
        <w:rPr>
          <w:spacing w:val="-11"/>
        </w:rPr>
        <w:t> </w:t>
      </w:r>
      <w:r>
        <w:rPr/>
        <w:t>En</w:t>
      </w:r>
      <w:r>
        <w:rPr>
          <w:spacing w:val="-8"/>
        </w:rPr>
        <w:t> </w:t>
      </w:r>
      <w:r>
        <w:rPr/>
        <w:t>cambio,</w:t>
      </w:r>
      <w:r>
        <w:rPr>
          <w:spacing w:val="-5"/>
        </w:rPr>
        <w:t> </w:t>
      </w:r>
      <w:r>
        <w:rPr/>
        <w:t>nosotros</w:t>
      </w:r>
      <w:r>
        <w:rPr>
          <w:spacing w:val="-11"/>
        </w:rPr>
        <w:t> </w:t>
      </w:r>
      <w:r>
        <w:rPr/>
        <w:t>realizamos</w:t>
      </w:r>
      <w:r>
        <w:rPr>
          <w:spacing w:val="-7"/>
        </w:rPr>
        <w:t> </w:t>
      </w:r>
      <w:r>
        <w:rPr/>
        <w:t>un</w:t>
      </w:r>
      <w:r>
        <w:rPr>
          <w:spacing w:val="-4"/>
        </w:rPr>
        <w:t> </w:t>
      </w:r>
      <w:r>
        <w:rPr/>
        <w:t>trabajo</w:t>
      </w:r>
      <w:r>
        <w:rPr>
          <w:spacing w:val="-3"/>
        </w:rPr>
        <w:t> </w:t>
      </w:r>
      <w:r>
        <w:rPr/>
        <w:t>de</w:t>
      </w:r>
      <w:r>
        <w:rPr>
          <w:spacing w:val="-10"/>
        </w:rPr>
        <w:t> </w:t>
      </w:r>
      <w:r>
        <w:rPr/>
        <w:t>validación</w:t>
      </w:r>
      <w:r>
        <w:rPr>
          <w:spacing w:val="-9"/>
        </w:rPr>
        <w:t> </w:t>
      </w:r>
      <w:r>
        <w:rPr/>
        <w:t>y</w:t>
      </w:r>
      <w:r>
        <w:rPr>
          <w:spacing w:val="-9"/>
        </w:rPr>
        <w:t> </w:t>
      </w:r>
      <w:r>
        <w:rPr/>
        <w:t>prueba</w:t>
      </w:r>
      <w:r>
        <w:rPr>
          <w:spacing w:val="-5"/>
        </w:rPr>
        <w:t> </w:t>
      </w:r>
      <w:r>
        <w:rPr/>
        <w:t>de</w:t>
      </w:r>
      <w:r>
        <w:rPr>
          <w:spacing w:val="-10"/>
        </w:rPr>
        <w:t> </w:t>
      </w:r>
      <w:r>
        <w:rPr/>
        <w:t>los gRNAs diseñados en la herramienta BLAST corroborando que estas secuencias no se presentaban en</w:t>
      </w:r>
      <w:r>
        <w:rPr>
          <w:spacing w:val="4"/>
        </w:rPr>
        <w:t> </w:t>
      </w:r>
      <w:r>
        <w:rPr>
          <w:i/>
        </w:rPr>
        <w:t>Rnf19a</w:t>
      </w:r>
      <w:r>
        <w:rPr/>
        <w:t>.</w:t>
      </w:r>
    </w:p>
    <w:p>
      <w:pPr>
        <w:pStyle w:val="BodyText"/>
        <w:spacing w:line="360" w:lineRule="auto" w:before="1"/>
        <w:ind w:left="119" w:right="1338" w:firstLine="302"/>
        <w:jc w:val="both"/>
      </w:pPr>
      <w:r>
        <w:rPr/>
        <w:t>Por último, el presente trabajo abre la puerta a posteriores estudios en donde se medirán los cambios en la expresión del RNA de cada uno de estos pseudogenes, y cómo la</w:t>
      </w:r>
      <w:r>
        <w:rPr>
          <w:spacing w:val="-19"/>
        </w:rPr>
        <w:t> </w:t>
      </w:r>
      <w:r>
        <w:rPr/>
        <w:t>ausencia</w:t>
      </w:r>
    </w:p>
    <w:p>
      <w:pPr>
        <w:spacing w:after="0" w:line="360" w:lineRule="auto"/>
        <w:jc w:val="both"/>
        <w:sectPr>
          <w:pgSz w:w="12240" w:h="15840"/>
          <w:pgMar w:header="7" w:footer="0" w:top="1040" w:bottom="280" w:left="1580" w:right="360"/>
        </w:sectPr>
      </w:pPr>
    </w:p>
    <w:p>
      <w:pPr>
        <w:pStyle w:val="BodyText"/>
        <w:spacing w:line="360" w:lineRule="auto" w:before="80"/>
        <w:ind w:left="119" w:right="1311"/>
      </w:pPr>
      <w:r>
        <w:rPr/>
        <w:t>de su expresión podría influir en la expresión de la proteína del gen parental </w:t>
      </w:r>
      <w:r>
        <w:rPr>
          <w:i/>
        </w:rPr>
        <w:t>Rnf19a</w:t>
      </w:r>
      <w:r>
        <w:rPr/>
        <w:t>, validando así que se establece una red ceRNA.</w:t>
      </w:r>
    </w:p>
    <w:p>
      <w:pPr>
        <w:spacing w:after="0" w:line="360" w:lineRule="auto"/>
        <w:sectPr>
          <w:pgSz w:w="12240" w:h="15840"/>
          <w:pgMar w:header="7" w:footer="0" w:top="1040" w:bottom="280" w:left="1580" w:right="360"/>
        </w:sectPr>
      </w:pPr>
    </w:p>
    <w:p>
      <w:pPr>
        <w:spacing w:before="76"/>
        <w:ind w:left="119" w:right="0" w:firstLine="0"/>
        <w:jc w:val="left"/>
        <w:rPr>
          <w:b/>
          <w:sz w:val="28"/>
        </w:rPr>
      </w:pPr>
      <w:bookmarkStart w:name="_TOC_250001" w:id="29"/>
      <w:bookmarkEnd w:id="29"/>
      <w:r>
        <w:rPr>
          <w:b/>
          <w:sz w:val="28"/>
        </w:rPr>
        <w:t>6.- Conclusiones:</w:t>
      </w:r>
    </w:p>
    <w:p>
      <w:pPr>
        <w:pStyle w:val="BodyText"/>
        <w:rPr>
          <w:b/>
          <w:sz w:val="30"/>
        </w:rPr>
      </w:pPr>
    </w:p>
    <w:p>
      <w:pPr>
        <w:pStyle w:val="ListParagraph"/>
        <w:numPr>
          <w:ilvl w:val="0"/>
          <w:numId w:val="6"/>
        </w:numPr>
        <w:tabs>
          <w:tab w:pos="259" w:val="left" w:leader="none"/>
        </w:tabs>
        <w:spacing w:line="360" w:lineRule="auto" w:before="235" w:after="0"/>
        <w:ind w:left="119" w:right="1347" w:firstLine="0"/>
        <w:jc w:val="left"/>
        <w:rPr>
          <w:sz w:val="24"/>
        </w:rPr>
      </w:pPr>
      <w:r>
        <w:rPr>
          <w:sz w:val="24"/>
        </w:rPr>
        <w:t>Se ha eliminado el promotor de uno de los pseudogenes en cada una de las líneas celulares usadas.</w:t>
      </w:r>
    </w:p>
    <w:p>
      <w:pPr>
        <w:pStyle w:val="ListParagraph"/>
        <w:numPr>
          <w:ilvl w:val="0"/>
          <w:numId w:val="6"/>
        </w:numPr>
        <w:tabs>
          <w:tab w:pos="283" w:val="left" w:leader="none"/>
        </w:tabs>
        <w:spacing w:line="240" w:lineRule="auto" w:before="3" w:after="0"/>
        <w:ind w:left="282" w:right="0" w:hanging="164"/>
        <w:jc w:val="left"/>
        <w:rPr>
          <w:i/>
          <w:sz w:val="24"/>
        </w:rPr>
      </w:pPr>
      <w:r>
        <w:rPr>
          <w:sz w:val="24"/>
        </w:rPr>
        <w:t>Se</w:t>
      </w:r>
      <w:r>
        <w:rPr>
          <w:spacing w:val="24"/>
          <w:sz w:val="24"/>
        </w:rPr>
        <w:t> </w:t>
      </w:r>
      <w:r>
        <w:rPr>
          <w:sz w:val="24"/>
        </w:rPr>
        <w:t>han</w:t>
      </w:r>
      <w:r>
        <w:rPr>
          <w:spacing w:val="20"/>
          <w:sz w:val="24"/>
        </w:rPr>
        <w:t> </w:t>
      </w:r>
      <w:r>
        <w:rPr>
          <w:sz w:val="24"/>
        </w:rPr>
        <w:t>generado</w:t>
      </w:r>
      <w:r>
        <w:rPr>
          <w:spacing w:val="20"/>
          <w:sz w:val="24"/>
        </w:rPr>
        <w:t> </w:t>
      </w:r>
      <w:r>
        <w:rPr>
          <w:sz w:val="24"/>
        </w:rPr>
        <w:t>líneas</w:t>
      </w:r>
      <w:r>
        <w:rPr>
          <w:spacing w:val="24"/>
          <w:sz w:val="24"/>
        </w:rPr>
        <w:t> </w:t>
      </w:r>
      <w:r>
        <w:rPr>
          <w:sz w:val="24"/>
        </w:rPr>
        <w:t>celulares</w:t>
      </w:r>
      <w:r>
        <w:rPr>
          <w:spacing w:val="23"/>
          <w:sz w:val="24"/>
        </w:rPr>
        <w:t> </w:t>
      </w:r>
      <w:r>
        <w:rPr>
          <w:sz w:val="24"/>
        </w:rPr>
        <w:t>mutantes</w:t>
      </w:r>
      <w:r>
        <w:rPr>
          <w:spacing w:val="23"/>
          <w:sz w:val="24"/>
        </w:rPr>
        <w:t> </w:t>
      </w:r>
      <w:r>
        <w:rPr>
          <w:sz w:val="24"/>
        </w:rPr>
        <w:t>para</w:t>
      </w:r>
      <w:r>
        <w:rPr>
          <w:spacing w:val="14"/>
          <w:sz w:val="24"/>
        </w:rPr>
        <w:t> </w:t>
      </w:r>
      <w:r>
        <w:rPr>
          <w:sz w:val="24"/>
        </w:rPr>
        <w:t>cada</w:t>
      </w:r>
      <w:r>
        <w:rPr>
          <w:spacing w:val="25"/>
          <w:sz w:val="24"/>
        </w:rPr>
        <w:t> </w:t>
      </w:r>
      <w:r>
        <w:rPr>
          <w:sz w:val="24"/>
        </w:rPr>
        <w:t>uno</w:t>
      </w:r>
      <w:r>
        <w:rPr>
          <w:spacing w:val="25"/>
          <w:sz w:val="24"/>
        </w:rPr>
        <w:t> </w:t>
      </w:r>
      <w:r>
        <w:rPr>
          <w:sz w:val="24"/>
        </w:rPr>
        <w:t>de</w:t>
      </w:r>
      <w:r>
        <w:rPr>
          <w:spacing w:val="19"/>
          <w:sz w:val="24"/>
        </w:rPr>
        <w:t> </w:t>
      </w:r>
      <w:r>
        <w:rPr>
          <w:sz w:val="24"/>
        </w:rPr>
        <w:t>los</w:t>
      </w:r>
      <w:r>
        <w:rPr>
          <w:spacing w:val="19"/>
          <w:sz w:val="24"/>
        </w:rPr>
        <w:t> </w:t>
      </w:r>
      <w:r>
        <w:rPr>
          <w:sz w:val="24"/>
        </w:rPr>
        <w:t>pseudogenes</w:t>
      </w:r>
      <w:r>
        <w:rPr>
          <w:spacing w:val="23"/>
          <w:sz w:val="24"/>
        </w:rPr>
        <w:t> </w:t>
      </w:r>
      <w:r>
        <w:rPr>
          <w:sz w:val="24"/>
        </w:rPr>
        <w:t>de</w:t>
      </w:r>
      <w:r>
        <w:rPr>
          <w:spacing w:val="32"/>
          <w:sz w:val="24"/>
        </w:rPr>
        <w:t> </w:t>
      </w:r>
      <w:r>
        <w:rPr>
          <w:i/>
          <w:sz w:val="24"/>
        </w:rPr>
        <w:t>Rnf19a</w:t>
      </w:r>
    </w:p>
    <w:p>
      <w:pPr>
        <w:pStyle w:val="BodyText"/>
        <w:spacing w:before="137"/>
        <w:ind w:left="119"/>
      </w:pPr>
      <w:r>
        <w:rPr/>
        <w:t>siendo GC-1 para Pg1, GC-2 para Pg3 y 3T3 para Pg2.</w:t>
      </w:r>
    </w:p>
    <w:p>
      <w:pPr>
        <w:spacing w:after="0"/>
        <w:sectPr>
          <w:pgSz w:w="12240" w:h="15840"/>
          <w:pgMar w:header="7" w:footer="0" w:top="1040" w:bottom="280" w:left="1580" w:right="360"/>
        </w:sectPr>
      </w:pPr>
    </w:p>
    <w:p>
      <w:pPr>
        <w:spacing w:before="76"/>
        <w:ind w:left="119" w:right="0" w:firstLine="0"/>
        <w:jc w:val="left"/>
        <w:rPr>
          <w:b/>
          <w:sz w:val="28"/>
        </w:rPr>
      </w:pPr>
      <w:bookmarkStart w:name="_TOC_250000" w:id="30"/>
      <w:bookmarkEnd w:id="30"/>
      <w:r>
        <w:rPr>
          <w:b/>
          <w:sz w:val="28"/>
        </w:rPr>
        <w:t>7.-Bibliografía:</w:t>
      </w:r>
    </w:p>
    <w:p>
      <w:pPr>
        <w:pStyle w:val="BodyText"/>
        <w:rPr>
          <w:b/>
          <w:sz w:val="30"/>
        </w:rPr>
      </w:pPr>
    </w:p>
    <w:p>
      <w:pPr>
        <w:pStyle w:val="BodyText"/>
        <w:spacing w:before="3"/>
        <w:rPr>
          <w:b/>
          <w:sz w:val="26"/>
        </w:rPr>
      </w:pPr>
    </w:p>
    <w:p>
      <w:pPr>
        <w:spacing w:before="0"/>
        <w:ind w:left="182" w:right="0" w:firstLine="0"/>
        <w:jc w:val="left"/>
        <w:rPr>
          <w:sz w:val="24"/>
        </w:rPr>
      </w:pPr>
      <w:r>
        <w:rPr>
          <w:i/>
          <w:sz w:val="24"/>
        </w:rPr>
        <w:t>Addgene: Isolating a Monoclonal Cell Population by Limiting Dilution</w:t>
      </w:r>
      <w:r>
        <w:rPr>
          <w:sz w:val="24"/>
        </w:rPr>
        <w:t>. (s. f.). Recuperado</w:t>
      </w:r>
    </w:p>
    <w:p>
      <w:pPr>
        <w:pStyle w:val="BodyText"/>
        <w:tabs>
          <w:tab w:pos="1295" w:val="left" w:leader="none"/>
          <w:tab w:pos="1852" w:val="left" w:leader="none"/>
          <w:tab w:pos="2677" w:val="left" w:leader="none"/>
          <w:tab w:pos="3238" w:val="left" w:leader="none"/>
          <w:tab w:pos="4107" w:val="left" w:leader="none"/>
          <w:tab w:pos="4671" w:val="left" w:leader="none"/>
        </w:tabs>
        <w:spacing w:line="360" w:lineRule="auto" w:before="142"/>
        <w:ind w:left="840" w:right="1337"/>
      </w:pPr>
      <w:r>
        <w:rPr/>
        <w:t>9</w:t>
        <w:tab/>
        <w:t>de</w:t>
        <w:tab/>
        <w:t>junio</w:t>
        <w:tab/>
        <w:t>de</w:t>
        <w:tab/>
        <w:t>2020,</w:t>
        <w:tab/>
        <w:t>de</w:t>
        <w:tab/>
      </w:r>
      <w:r>
        <w:rPr>
          <w:spacing w:val="-1"/>
        </w:rPr>
        <w:t>https:/</w:t>
      </w:r>
      <w:hyperlink r:id="rId22">
        <w:r>
          <w:rPr>
            <w:spacing w:val="-1"/>
          </w:rPr>
          <w:t>/www.</w:t>
        </w:r>
      </w:hyperlink>
      <w:r>
        <w:rPr>
          <w:spacing w:val="-1"/>
        </w:rPr>
        <w:t>a</w:t>
      </w:r>
      <w:hyperlink r:id="rId22">
        <w:r>
          <w:rPr>
            <w:spacing w:val="-1"/>
          </w:rPr>
          <w:t>ddgene.org/protocols/limiting-</w:t>
        </w:r>
      </w:hyperlink>
      <w:r>
        <w:rPr>
          <w:spacing w:val="-1"/>
        </w:rPr>
        <w:t> </w:t>
      </w:r>
      <w:r>
        <w:rPr/>
        <w:t>dilution/?gclid=EAIaIQobChMI4buritX16QIViwyRCh0ceQ6uEAAYAiAAEgLQ_</w:t>
      </w:r>
    </w:p>
    <w:p>
      <w:pPr>
        <w:pStyle w:val="BodyText"/>
        <w:spacing w:line="274" w:lineRule="exact"/>
        <w:ind w:left="840"/>
      </w:pPr>
      <w:r>
        <w:rPr/>
        <w:t>_D_BwE</w:t>
      </w:r>
    </w:p>
    <w:p>
      <w:pPr>
        <w:spacing w:line="362" w:lineRule="auto" w:before="137"/>
        <w:ind w:left="840" w:right="1335" w:hanging="721"/>
        <w:jc w:val="both"/>
        <w:rPr>
          <w:sz w:val="24"/>
        </w:rPr>
      </w:pPr>
      <w:r>
        <w:rPr>
          <w:sz w:val="24"/>
        </w:rPr>
        <w:t>An, Y., Furber, K. L., &amp; Ji, S. (2017). Pseudogenes regulate parental gene expression </w:t>
      </w:r>
      <w:r>
        <w:rPr>
          <w:i/>
          <w:sz w:val="24"/>
        </w:rPr>
        <w:t>via </w:t>
      </w:r>
      <w:r>
        <w:rPr>
          <w:sz w:val="24"/>
        </w:rPr>
        <w:t>ceRNA network. </w:t>
      </w:r>
      <w:r>
        <w:rPr>
          <w:i/>
          <w:sz w:val="24"/>
        </w:rPr>
        <w:t>Journal of Cellular and Molecular Medicine</w:t>
      </w:r>
      <w:r>
        <w:rPr>
          <w:sz w:val="24"/>
        </w:rPr>
        <w:t>, </w:t>
      </w:r>
      <w:r>
        <w:rPr>
          <w:i/>
          <w:sz w:val="24"/>
        </w:rPr>
        <w:t>21</w:t>
      </w:r>
      <w:r>
        <w:rPr>
          <w:sz w:val="24"/>
        </w:rPr>
        <w:t>(1), 185-192. https://doi.org/10.1111/jcmm.12952</w:t>
      </w:r>
    </w:p>
    <w:p>
      <w:pPr>
        <w:pStyle w:val="BodyText"/>
        <w:spacing w:line="360" w:lineRule="auto"/>
        <w:ind w:left="840" w:right="1340" w:hanging="721"/>
        <w:jc w:val="both"/>
      </w:pPr>
      <w:r>
        <w:rPr/>
        <w:t>Bartel, D. P. (2018). Metazoan MicroRNAs. </w:t>
      </w:r>
      <w:r>
        <w:rPr>
          <w:i/>
        </w:rPr>
        <w:t>Cell</w:t>
      </w:r>
      <w:r>
        <w:rPr/>
        <w:t>, </w:t>
      </w:r>
      <w:r>
        <w:rPr>
          <w:i/>
        </w:rPr>
        <w:t>173</w:t>
      </w:r>
      <w:r>
        <w:rPr/>
        <w:t>(1), 20-51. https://doi.org/10.1016/j.cell.2018.03.006</w:t>
      </w:r>
    </w:p>
    <w:p>
      <w:pPr>
        <w:pStyle w:val="BodyText"/>
        <w:tabs>
          <w:tab w:pos="2913" w:val="left" w:leader="none"/>
          <w:tab w:pos="4599" w:val="left" w:leader="none"/>
          <w:tab w:pos="6217" w:val="left" w:leader="none"/>
          <w:tab w:pos="8104" w:val="left" w:leader="none"/>
        </w:tabs>
        <w:spacing w:line="360" w:lineRule="auto"/>
        <w:ind w:left="840" w:right="1335" w:hanging="721"/>
        <w:jc w:val="both"/>
      </w:pPr>
      <w:r>
        <w:rPr/>
        <w:t>Cong,</w:t>
      </w:r>
      <w:r>
        <w:rPr>
          <w:spacing w:val="-5"/>
        </w:rPr>
        <w:t> </w:t>
      </w:r>
      <w:r>
        <w:rPr/>
        <w:t>L.,</w:t>
      </w:r>
      <w:r>
        <w:rPr>
          <w:spacing w:val="-8"/>
        </w:rPr>
        <w:t> </w:t>
      </w:r>
      <w:r>
        <w:rPr/>
        <w:t>Ran,</w:t>
      </w:r>
      <w:r>
        <w:rPr>
          <w:spacing w:val="-4"/>
        </w:rPr>
        <w:t> </w:t>
      </w:r>
      <w:r>
        <w:rPr/>
        <w:t>F.</w:t>
      </w:r>
      <w:r>
        <w:rPr>
          <w:spacing w:val="-5"/>
        </w:rPr>
        <w:t> </w:t>
      </w:r>
      <w:r>
        <w:rPr/>
        <w:t>A.,</w:t>
      </w:r>
      <w:r>
        <w:rPr>
          <w:spacing w:val="-8"/>
        </w:rPr>
        <w:t> </w:t>
      </w:r>
      <w:r>
        <w:rPr/>
        <w:t>Cox,</w:t>
      </w:r>
      <w:r>
        <w:rPr>
          <w:spacing w:val="-8"/>
        </w:rPr>
        <w:t> </w:t>
      </w:r>
      <w:r>
        <w:rPr/>
        <w:t>D.,</w:t>
      </w:r>
      <w:r>
        <w:rPr>
          <w:spacing w:val="-5"/>
        </w:rPr>
        <w:t> </w:t>
      </w:r>
      <w:r>
        <w:rPr/>
        <w:t>Lin,</w:t>
      </w:r>
      <w:r>
        <w:rPr>
          <w:spacing w:val="-8"/>
        </w:rPr>
        <w:t> </w:t>
      </w:r>
      <w:r>
        <w:rPr/>
        <w:t>S.,</w:t>
      </w:r>
      <w:r>
        <w:rPr>
          <w:spacing w:val="-4"/>
        </w:rPr>
        <w:t> </w:t>
      </w:r>
      <w:r>
        <w:rPr/>
        <w:t>Barretto,</w:t>
      </w:r>
      <w:r>
        <w:rPr>
          <w:spacing w:val="-8"/>
        </w:rPr>
        <w:t> </w:t>
      </w:r>
      <w:r>
        <w:rPr/>
        <w:t>R.,</w:t>
      </w:r>
      <w:r>
        <w:rPr>
          <w:spacing w:val="-13"/>
        </w:rPr>
        <w:t> </w:t>
      </w:r>
      <w:r>
        <w:rPr/>
        <w:t>Habib,</w:t>
      </w:r>
      <w:r>
        <w:rPr>
          <w:spacing w:val="-4"/>
        </w:rPr>
        <w:t> </w:t>
      </w:r>
      <w:r>
        <w:rPr/>
        <w:t>N.,</w:t>
      </w:r>
      <w:r>
        <w:rPr>
          <w:spacing w:val="-4"/>
        </w:rPr>
        <w:t> </w:t>
      </w:r>
      <w:r>
        <w:rPr/>
        <w:t>Hsu,</w:t>
      </w:r>
      <w:r>
        <w:rPr>
          <w:spacing w:val="-8"/>
        </w:rPr>
        <w:t> </w:t>
      </w:r>
      <w:r>
        <w:rPr/>
        <w:t>P.</w:t>
      </w:r>
      <w:r>
        <w:rPr>
          <w:spacing w:val="-5"/>
        </w:rPr>
        <w:t> </w:t>
      </w:r>
      <w:r>
        <w:rPr/>
        <w:t>D.,</w:t>
      </w:r>
      <w:r>
        <w:rPr>
          <w:spacing w:val="-4"/>
        </w:rPr>
        <w:t> </w:t>
      </w:r>
      <w:r>
        <w:rPr/>
        <w:t>Wu,</w:t>
      </w:r>
      <w:r>
        <w:rPr>
          <w:spacing w:val="-5"/>
        </w:rPr>
        <w:t> </w:t>
      </w:r>
      <w:r>
        <w:rPr/>
        <w:t>X.,</w:t>
      </w:r>
      <w:r>
        <w:rPr>
          <w:spacing w:val="-8"/>
        </w:rPr>
        <w:t> </w:t>
      </w:r>
      <w:r>
        <w:rPr/>
        <w:t>Jiang,</w:t>
      </w:r>
      <w:r>
        <w:rPr>
          <w:spacing w:val="3"/>
        </w:rPr>
        <w:t> </w:t>
      </w:r>
      <w:r>
        <w:rPr/>
        <w:t>W., Marraffini, L. A., &amp; Zhang, F. (2013). Multiplex Genome Engineering Using CRISPR/Cas</w:t>
        <w:tab/>
        <w:t>Systems.</w:t>
        <w:tab/>
      </w:r>
      <w:r>
        <w:rPr>
          <w:i/>
        </w:rPr>
        <w:t>Science</w:t>
      </w:r>
      <w:r>
        <w:rPr/>
        <w:t>,</w:t>
        <w:tab/>
      </w:r>
      <w:r>
        <w:rPr>
          <w:i/>
        </w:rPr>
        <w:t>339</w:t>
      </w:r>
      <w:r>
        <w:rPr/>
        <w:t>(6121),</w:t>
        <w:tab/>
      </w:r>
      <w:r>
        <w:rPr>
          <w:spacing w:val="-3"/>
        </w:rPr>
        <w:t>819-823.</w:t>
      </w:r>
    </w:p>
    <w:p>
      <w:pPr>
        <w:pStyle w:val="BodyText"/>
        <w:spacing w:line="272" w:lineRule="exact"/>
        <w:ind w:left="840"/>
      </w:pPr>
      <w:r>
        <w:rPr/>
        <w:t>https://doi.org/10.1126/science.1231143</w:t>
      </w:r>
    </w:p>
    <w:p>
      <w:pPr>
        <w:pStyle w:val="BodyText"/>
        <w:spacing w:line="360" w:lineRule="auto" w:before="139"/>
        <w:ind w:left="840" w:right="1335" w:hanging="721"/>
        <w:jc w:val="both"/>
      </w:pPr>
      <w:r>
        <w:rPr/>
        <w:t>de Mateo, S., &amp; Sassone-Corsi, P. (2014). Regulation of spermatogenesis by small non- coding</w:t>
      </w:r>
      <w:r>
        <w:rPr>
          <w:spacing w:val="-5"/>
        </w:rPr>
        <w:t> </w:t>
      </w:r>
      <w:r>
        <w:rPr/>
        <w:t>RNAs:</w:t>
      </w:r>
      <w:r>
        <w:rPr>
          <w:spacing w:val="-5"/>
        </w:rPr>
        <w:t> </w:t>
      </w:r>
      <w:r>
        <w:rPr/>
        <w:t>Role</w:t>
      </w:r>
      <w:r>
        <w:rPr>
          <w:spacing w:val="-6"/>
        </w:rPr>
        <w:t> </w:t>
      </w:r>
      <w:r>
        <w:rPr/>
        <w:t>of</w:t>
      </w:r>
      <w:r>
        <w:rPr>
          <w:spacing w:val="-8"/>
        </w:rPr>
        <w:t> </w:t>
      </w:r>
      <w:r>
        <w:rPr/>
        <w:t>the</w:t>
      </w:r>
      <w:r>
        <w:rPr>
          <w:spacing w:val="-6"/>
        </w:rPr>
        <w:t> </w:t>
      </w:r>
      <w:r>
        <w:rPr/>
        <w:t>germ</w:t>
      </w:r>
      <w:r>
        <w:rPr>
          <w:spacing w:val="-5"/>
        </w:rPr>
        <w:t> </w:t>
      </w:r>
      <w:r>
        <w:rPr/>
        <w:t>granule.</w:t>
      </w:r>
      <w:r>
        <w:rPr>
          <w:spacing w:val="-2"/>
        </w:rPr>
        <w:t> </w:t>
      </w:r>
      <w:r>
        <w:rPr>
          <w:i/>
        </w:rPr>
        <w:t>Seminars</w:t>
      </w:r>
      <w:r>
        <w:rPr>
          <w:i/>
          <w:spacing w:val="-12"/>
        </w:rPr>
        <w:t> </w:t>
      </w:r>
      <w:r>
        <w:rPr>
          <w:i/>
        </w:rPr>
        <w:t>in</w:t>
      </w:r>
      <w:r>
        <w:rPr>
          <w:i/>
          <w:spacing w:val="-5"/>
        </w:rPr>
        <w:t> </w:t>
      </w:r>
      <w:r>
        <w:rPr>
          <w:i/>
        </w:rPr>
        <w:t>Cell</w:t>
      </w:r>
      <w:r>
        <w:rPr>
          <w:i/>
          <w:spacing w:val="-5"/>
        </w:rPr>
        <w:t> </w:t>
      </w:r>
      <w:r>
        <w:rPr>
          <w:i/>
        </w:rPr>
        <w:t>&amp;</w:t>
      </w:r>
      <w:r>
        <w:rPr>
          <w:i/>
          <w:spacing w:val="-9"/>
        </w:rPr>
        <w:t> </w:t>
      </w:r>
      <w:r>
        <w:rPr>
          <w:i/>
        </w:rPr>
        <w:t>Developmental</w:t>
      </w:r>
      <w:r>
        <w:rPr>
          <w:i/>
          <w:spacing w:val="-5"/>
        </w:rPr>
        <w:t> </w:t>
      </w:r>
      <w:r>
        <w:rPr>
          <w:i/>
        </w:rPr>
        <w:t>Biology</w:t>
      </w:r>
      <w:r>
        <w:rPr/>
        <w:t>, </w:t>
      </w:r>
      <w:r>
        <w:rPr>
          <w:i/>
        </w:rPr>
        <w:t>29</w:t>
      </w:r>
      <w:r>
        <w:rPr/>
        <w:t>, 84-92.</w:t>
      </w:r>
      <w:r>
        <w:rPr>
          <w:spacing w:val="7"/>
        </w:rPr>
        <w:t> </w:t>
      </w:r>
      <w:r>
        <w:rPr/>
        <w:t>https://doi.org/10.1016/j.semcdb.2014.04.021</w:t>
      </w:r>
    </w:p>
    <w:p>
      <w:pPr>
        <w:pStyle w:val="BodyText"/>
        <w:spacing w:line="362" w:lineRule="auto"/>
        <w:ind w:left="840" w:right="1335" w:hanging="721"/>
        <w:jc w:val="both"/>
      </w:pPr>
      <w:r>
        <w:rPr/>
        <w:t>Ding, W., Lin, L., Chen, B., &amp; Dai, J. (2006). L1 elements, processed pseudogenes and retrogenes in mammalian genomes. </w:t>
      </w:r>
      <w:r>
        <w:rPr>
          <w:i/>
        </w:rPr>
        <w:t>IUBMB Life</w:t>
      </w:r>
      <w:r>
        <w:rPr/>
        <w:t>, </w:t>
      </w:r>
      <w:r>
        <w:rPr>
          <w:i/>
        </w:rPr>
        <w:t>58</w:t>
      </w:r>
      <w:r>
        <w:rPr/>
        <w:t>(12), 677-685.</w:t>
      </w:r>
    </w:p>
    <w:p>
      <w:pPr>
        <w:pStyle w:val="BodyText"/>
        <w:spacing w:line="273" w:lineRule="exact"/>
        <w:ind w:left="840"/>
      </w:pPr>
      <w:r>
        <w:rPr/>
        <w:t>https://doi.org/10.1080/15216540601034856</w:t>
      </w:r>
    </w:p>
    <w:p>
      <w:pPr>
        <w:pStyle w:val="BodyText"/>
        <w:spacing w:line="362" w:lineRule="auto" w:before="133"/>
        <w:ind w:left="840" w:right="1335" w:hanging="721"/>
        <w:jc w:val="both"/>
      </w:pPr>
      <w:r>
        <w:rPr/>
        <w:t>Fabbri, M., Girnita, L., Varani, G., &amp; Calin, </w:t>
      </w:r>
      <w:r>
        <w:rPr>
          <w:spacing w:val="-3"/>
        </w:rPr>
        <w:t>G. </w:t>
      </w:r>
      <w:r>
        <w:rPr/>
        <w:t>A. (2019). Decrypting noncoding RNA interactions, structures, and functional networks. </w:t>
      </w:r>
      <w:r>
        <w:rPr>
          <w:i/>
        </w:rPr>
        <w:t>Genome Research</w:t>
      </w:r>
      <w:r>
        <w:rPr/>
        <w:t>, </w:t>
      </w:r>
      <w:r>
        <w:rPr>
          <w:i/>
        </w:rPr>
        <w:t>29</w:t>
      </w:r>
      <w:r>
        <w:rPr/>
        <w:t>(9), 1377- 1388.</w:t>
      </w:r>
      <w:r>
        <w:rPr>
          <w:spacing w:val="3"/>
        </w:rPr>
        <w:t> </w:t>
      </w:r>
      <w:r>
        <w:rPr/>
        <w:t>https://doi.org/10.1101/gr.247239.118</w:t>
      </w:r>
    </w:p>
    <w:p>
      <w:pPr>
        <w:tabs>
          <w:tab w:pos="1329" w:val="left" w:leader="none"/>
          <w:tab w:pos="2658" w:val="left" w:leader="none"/>
          <w:tab w:pos="4203" w:val="left" w:leader="none"/>
          <w:tab w:pos="5148" w:val="left" w:leader="none"/>
          <w:tab w:pos="6501" w:val="left" w:leader="none"/>
          <w:tab w:pos="7623" w:val="left" w:leader="none"/>
        </w:tabs>
        <w:spacing w:line="360" w:lineRule="auto" w:before="0"/>
        <w:ind w:left="119" w:right="1333" w:firstLine="0"/>
        <w:jc w:val="right"/>
        <w:rPr>
          <w:sz w:val="24"/>
        </w:rPr>
      </w:pPr>
      <w:r>
        <w:rPr>
          <w:sz w:val="24"/>
        </w:rPr>
        <w:t>Faraone Mennella, M. R. (2011). Mammalian Spermatogenesis, DNA</w:t>
      </w:r>
      <w:r>
        <w:rPr>
          <w:spacing w:val="10"/>
          <w:sz w:val="24"/>
        </w:rPr>
        <w:t> </w:t>
      </w:r>
      <w:r>
        <w:rPr>
          <w:sz w:val="24"/>
        </w:rPr>
        <w:t>Repair, Poly</w:t>
      </w:r>
      <w:r>
        <w:rPr>
          <w:spacing w:val="13"/>
          <w:sz w:val="24"/>
        </w:rPr>
        <w:t> </w:t>
      </w:r>
      <w:r>
        <w:rPr>
          <w:sz w:val="24"/>
        </w:rPr>
        <w:t>(ADP-</w:t>
      </w:r>
      <w:r>
        <w:rPr>
          <w:w w:val="99"/>
          <w:sz w:val="24"/>
        </w:rPr>
        <w:t> </w:t>
      </w:r>
      <w:r>
        <w:rPr>
          <w:sz w:val="24"/>
        </w:rPr>
        <w:t>ribose)</w:t>
      </w:r>
      <w:r>
        <w:rPr>
          <w:spacing w:val="30"/>
          <w:sz w:val="24"/>
        </w:rPr>
        <w:t> </w:t>
      </w:r>
      <w:r>
        <w:rPr>
          <w:sz w:val="24"/>
        </w:rPr>
        <w:t>Turnover:</w:t>
      </w:r>
      <w:r>
        <w:rPr>
          <w:spacing w:val="24"/>
          <w:sz w:val="24"/>
        </w:rPr>
        <w:t> </w:t>
      </w:r>
      <w:r>
        <w:rPr>
          <w:sz w:val="24"/>
        </w:rPr>
        <w:t>The</w:t>
      </w:r>
      <w:r>
        <w:rPr>
          <w:spacing w:val="28"/>
          <w:sz w:val="24"/>
        </w:rPr>
        <w:t> </w:t>
      </w:r>
      <w:r>
        <w:rPr>
          <w:sz w:val="24"/>
        </w:rPr>
        <w:t>State</w:t>
      </w:r>
      <w:r>
        <w:rPr>
          <w:spacing w:val="29"/>
          <w:sz w:val="24"/>
        </w:rPr>
        <w:t> </w:t>
      </w:r>
      <w:r>
        <w:rPr>
          <w:sz w:val="24"/>
        </w:rPr>
        <w:t>of</w:t>
      </w:r>
      <w:r>
        <w:rPr>
          <w:spacing w:val="30"/>
          <w:sz w:val="24"/>
        </w:rPr>
        <w:t> </w:t>
      </w:r>
      <w:r>
        <w:rPr>
          <w:sz w:val="24"/>
        </w:rPr>
        <w:t>the</w:t>
      </w:r>
      <w:r>
        <w:rPr>
          <w:spacing w:val="28"/>
          <w:sz w:val="24"/>
        </w:rPr>
        <w:t> </w:t>
      </w:r>
      <w:r>
        <w:rPr>
          <w:sz w:val="24"/>
        </w:rPr>
        <w:t>Art.</w:t>
      </w:r>
      <w:r>
        <w:rPr>
          <w:spacing w:val="31"/>
          <w:sz w:val="24"/>
        </w:rPr>
        <w:t> </w:t>
      </w:r>
      <w:r>
        <w:rPr>
          <w:sz w:val="24"/>
        </w:rPr>
        <w:t>En</w:t>
      </w:r>
      <w:r>
        <w:rPr>
          <w:spacing w:val="28"/>
          <w:sz w:val="24"/>
        </w:rPr>
        <w:t> </w:t>
      </w:r>
      <w:r>
        <w:rPr>
          <w:sz w:val="24"/>
        </w:rPr>
        <w:t>F.</w:t>
      </w:r>
      <w:r>
        <w:rPr>
          <w:spacing w:val="32"/>
          <w:sz w:val="24"/>
        </w:rPr>
        <w:t> </w:t>
      </w:r>
      <w:r>
        <w:rPr>
          <w:sz w:val="24"/>
        </w:rPr>
        <w:t>Storici</w:t>
      </w:r>
      <w:r>
        <w:rPr>
          <w:spacing w:val="29"/>
          <w:sz w:val="24"/>
        </w:rPr>
        <w:t> </w:t>
      </w:r>
      <w:r>
        <w:rPr>
          <w:sz w:val="24"/>
        </w:rPr>
        <w:t>(Ed.),</w:t>
      </w:r>
      <w:r>
        <w:rPr>
          <w:spacing w:val="40"/>
          <w:sz w:val="24"/>
        </w:rPr>
        <w:t> </w:t>
      </w:r>
      <w:r>
        <w:rPr>
          <w:i/>
          <w:sz w:val="24"/>
        </w:rPr>
        <w:t>DNA</w:t>
      </w:r>
      <w:r>
        <w:rPr>
          <w:i/>
          <w:spacing w:val="31"/>
          <w:sz w:val="24"/>
        </w:rPr>
        <w:t> </w:t>
      </w:r>
      <w:r>
        <w:rPr>
          <w:i/>
          <w:sz w:val="24"/>
        </w:rPr>
        <w:t>Repair—On</w:t>
      </w:r>
      <w:r>
        <w:rPr>
          <w:i/>
          <w:spacing w:val="33"/>
          <w:sz w:val="24"/>
        </w:rPr>
        <w:t> </w:t>
      </w:r>
      <w:r>
        <w:rPr>
          <w:i/>
          <w:sz w:val="24"/>
        </w:rPr>
        <w:t>the</w:t>
      </w:r>
      <w:r>
        <w:rPr>
          <w:i/>
          <w:sz w:val="24"/>
        </w:rPr>
        <w:t> Pathways</w:t>
      </w:r>
      <w:r>
        <w:rPr>
          <w:i/>
          <w:spacing w:val="-13"/>
          <w:sz w:val="24"/>
        </w:rPr>
        <w:t> </w:t>
      </w:r>
      <w:r>
        <w:rPr>
          <w:i/>
          <w:sz w:val="24"/>
        </w:rPr>
        <w:t>to</w:t>
      </w:r>
      <w:r>
        <w:rPr>
          <w:i/>
          <w:spacing w:val="-9"/>
          <w:sz w:val="24"/>
        </w:rPr>
        <w:t> </w:t>
      </w:r>
      <w:r>
        <w:rPr>
          <w:i/>
          <w:sz w:val="24"/>
        </w:rPr>
        <w:t>Fixing</w:t>
      </w:r>
      <w:r>
        <w:rPr>
          <w:i/>
          <w:spacing w:val="-10"/>
          <w:sz w:val="24"/>
        </w:rPr>
        <w:t> </w:t>
      </w:r>
      <w:r>
        <w:rPr>
          <w:i/>
          <w:sz w:val="24"/>
        </w:rPr>
        <w:t>DNA</w:t>
      </w:r>
      <w:r>
        <w:rPr>
          <w:i/>
          <w:spacing w:val="-8"/>
          <w:sz w:val="24"/>
        </w:rPr>
        <w:t> </w:t>
      </w:r>
      <w:r>
        <w:rPr>
          <w:i/>
          <w:sz w:val="24"/>
        </w:rPr>
        <w:t>Damage</w:t>
      </w:r>
      <w:r>
        <w:rPr>
          <w:i/>
          <w:spacing w:val="-11"/>
          <w:sz w:val="24"/>
        </w:rPr>
        <w:t> </w:t>
      </w:r>
      <w:r>
        <w:rPr>
          <w:i/>
          <w:sz w:val="24"/>
        </w:rPr>
        <w:t>and</w:t>
      </w:r>
      <w:r>
        <w:rPr>
          <w:i/>
          <w:spacing w:val="-14"/>
          <w:sz w:val="24"/>
        </w:rPr>
        <w:t> </w:t>
      </w:r>
      <w:r>
        <w:rPr>
          <w:i/>
          <w:sz w:val="24"/>
        </w:rPr>
        <w:t>Errors</w:t>
      </w:r>
      <w:r>
        <w:rPr>
          <w:sz w:val="24"/>
        </w:rPr>
        <w:t>.</w:t>
      </w:r>
      <w:r>
        <w:rPr>
          <w:spacing w:val="-9"/>
          <w:sz w:val="24"/>
        </w:rPr>
        <w:t> </w:t>
      </w:r>
      <w:r>
        <w:rPr>
          <w:sz w:val="24"/>
        </w:rPr>
        <w:t>InTech.</w:t>
      </w:r>
      <w:r>
        <w:rPr>
          <w:spacing w:val="-8"/>
          <w:sz w:val="24"/>
        </w:rPr>
        <w:t> </w:t>
      </w:r>
      <w:r>
        <w:rPr>
          <w:sz w:val="24"/>
        </w:rPr>
        <w:t>https://doi.org/10.5772/23337 Gebert,</w:t>
      </w:r>
      <w:r>
        <w:rPr>
          <w:spacing w:val="35"/>
          <w:sz w:val="24"/>
        </w:rPr>
        <w:t> </w:t>
      </w:r>
      <w:r>
        <w:rPr>
          <w:sz w:val="24"/>
        </w:rPr>
        <w:t>L.</w:t>
      </w:r>
      <w:r>
        <w:rPr>
          <w:spacing w:val="30"/>
          <w:sz w:val="24"/>
        </w:rPr>
        <w:t> </w:t>
      </w:r>
      <w:r>
        <w:rPr>
          <w:sz w:val="24"/>
        </w:rPr>
        <w:t>F.</w:t>
      </w:r>
      <w:r>
        <w:rPr>
          <w:spacing w:val="34"/>
          <w:sz w:val="24"/>
        </w:rPr>
        <w:t> </w:t>
      </w:r>
      <w:r>
        <w:rPr>
          <w:sz w:val="24"/>
        </w:rPr>
        <w:t>R.,</w:t>
      </w:r>
      <w:r>
        <w:rPr>
          <w:spacing w:val="31"/>
          <w:sz w:val="24"/>
        </w:rPr>
        <w:t> </w:t>
      </w:r>
      <w:r>
        <w:rPr>
          <w:sz w:val="24"/>
        </w:rPr>
        <w:t>&amp;</w:t>
      </w:r>
      <w:r>
        <w:rPr>
          <w:spacing w:val="28"/>
          <w:sz w:val="24"/>
        </w:rPr>
        <w:t> </w:t>
      </w:r>
      <w:r>
        <w:rPr>
          <w:sz w:val="24"/>
        </w:rPr>
        <w:t>MacRae,</w:t>
      </w:r>
      <w:r>
        <w:rPr>
          <w:spacing w:val="34"/>
          <w:sz w:val="24"/>
        </w:rPr>
        <w:t> </w:t>
      </w:r>
      <w:r>
        <w:rPr>
          <w:sz w:val="24"/>
        </w:rPr>
        <w:t>I.</w:t>
      </w:r>
      <w:r>
        <w:rPr>
          <w:spacing w:val="31"/>
          <w:sz w:val="24"/>
        </w:rPr>
        <w:t> </w:t>
      </w:r>
      <w:r>
        <w:rPr>
          <w:sz w:val="24"/>
        </w:rPr>
        <w:t>J.</w:t>
      </w:r>
      <w:r>
        <w:rPr>
          <w:spacing w:val="30"/>
          <w:sz w:val="24"/>
        </w:rPr>
        <w:t> </w:t>
      </w:r>
      <w:r>
        <w:rPr>
          <w:sz w:val="24"/>
        </w:rPr>
        <w:t>(2019).</w:t>
      </w:r>
      <w:r>
        <w:rPr>
          <w:spacing w:val="30"/>
          <w:sz w:val="24"/>
        </w:rPr>
        <w:t> </w:t>
      </w:r>
      <w:r>
        <w:rPr>
          <w:sz w:val="24"/>
        </w:rPr>
        <w:t>Regulation</w:t>
      </w:r>
      <w:r>
        <w:rPr>
          <w:spacing w:val="34"/>
          <w:sz w:val="24"/>
        </w:rPr>
        <w:t> </w:t>
      </w:r>
      <w:r>
        <w:rPr>
          <w:sz w:val="24"/>
        </w:rPr>
        <w:t>of</w:t>
      </w:r>
      <w:r>
        <w:rPr>
          <w:spacing w:val="29"/>
          <w:sz w:val="24"/>
        </w:rPr>
        <w:t> </w:t>
      </w:r>
      <w:r>
        <w:rPr>
          <w:sz w:val="24"/>
        </w:rPr>
        <w:t>microRNA</w:t>
      </w:r>
      <w:r>
        <w:rPr>
          <w:spacing w:val="27"/>
          <w:sz w:val="24"/>
        </w:rPr>
        <w:t> </w:t>
      </w:r>
      <w:r>
        <w:rPr>
          <w:sz w:val="24"/>
        </w:rPr>
        <w:t>function</w:t>
      </w:r>
      <w:r>
        <w:rPr>
          <w:spacing w:val="28"/>
          <w:sz w:val="24"/>
        </w:rPr>
        <w:t> </w:t>
      </w:r>
      <w:r>
        <w:rPr>
          <w:sz w:val="24"/>
        </w:rPr>
        <w:t>in</w:t>
      </w:r>
      <w:r>
        <w:rPr>
          <w:spacing w:val="28"/>
          <w:sz w:val="24"/>
        </w:rPr>
        <w:t> </w:t>
      </w:r>
      <w:r>
        <w:rPr>
          <w:sz w:val="24"/>
        </w:rPr>
        <w:t>animals. </w:t>
      </w:r>
      <w:r>
        <w:rPr>
          <w:i/>
          <w:sz w:val="24"/>
        </w:rPr>
        <w:t>Nature</w:t>
        <w:tab/>
        <w:t>Reviews</w:t>
        <w:tab/>
        <w:t>Molecular</w:t>
        <w:tab/>
        <w:t>Cell</w:t>
        <w:tab/>
        <w:t>Biology</w:t>
      </w:r>
      <w:r>
        <w:rPr>
          <w:sz w:val="24"/>
        </w:rPr>
        <w:t>,</w:t>
        <w:tab/>
      </w:r>
      <w:r>
        <w:rPr>
          <w:i/>
          <w:sz w:val="24"/>
        </w:rPr>
        <w:t>20</w:t>
      </w:r>
      <w:r>
        <w:rPr>
          <w:sz w:val="24"/>
        </w:rPr>
        <w:t>(1),</w:t>
        <w:tab/>
      </w:r>
      <w:r>
        <w:rPr>
          <w:spacing w:val="-1"/>
          <w:sz w:val="24"/>
        </w:rPr>
        <w:t>21-37.</w:t>
      </w:r>
    </w:p>
    <w:p>
      <w:pPr>
        <w:pStyle w:val="BodyText"/>
        <w:spacing w:line="275" w:lineRule="exact"/>
        <w:ind w:left="840"/>
      </w:pPr>
      <w:r>
        <w:rPr/>
        <w:t>https://doi.org/10.1038/s41580-018-0045-7</w:t>
      </w:r>
    </w:p>
    <w:p>
      <w:pPr>
        <w:spacing w:after="0" w:line="275" w:lineRule="exact"/>
        <w:sectPr>
          <w:pgSz w:w="12240" w:h="15840"/>
          <w:pgMar w:header="7" w:footer="0" w:top="1040" w:bottom="280" w:left="1580" w:right="360"/>
        </w:sectPr>
      </w:pPr>
    </w:p>
    <w:p>
      <w:pPr>
        <w:pStyle w:val="BodyText"/>
        <w:spacing w:line="360" w:lineRule="auto" w:before="80"/>
        <w:ind w:left="840" w:right="1333" w:hanging="721"/>
      </w:pPr>
      <w:r>
        <w:rPr>
          <w:i/>
        </w:rPr>
        <w:t>GeneArt CRISPR Nuclease Vectors—CL</w:t>
      </w:r>
      <w:r>
        <w:rPr/>
        <w:t>. (s. f.). Recuperado 8 de junio de 2020, de https:/</w:t>
      </w:r>
      <w:hyperlink r:id="rId23">
        <w:r>
          <w:rPr/>
          <w:t>/www</w:t>
        </w:r>
      </w:hyperlink>
      <w:r>
        <w:rPr/>
        <w:t>.</w:t>
      </w:r>
      <w:hyperlink r:id="rId23">
        <w:r>
          <w:rPr/>
          <w:t>thermofisher.com/cl/es/home/life-science/genome-editing/geneart-</w:t>
        </w:r>
      </w:hyperlink>
      <w:r>
        <w:rPr/>
        <w:t> crispr/crispr-nuclease-vector.html</w:t>
      </w:r>
    </w:p>
    <w:p>
      <w:pPr>
        <w:pStyle w:val="BodyText"/>
        <w:spacing w:line="360" w:lineRule="auto" w:before="2"/>
        <w:ind w:left="840" w:right="1335" w:hanging="721"/>
        <w:jc w:val="both"/>
      </w:pPr>
      <w:r>
        <w:rPr/>
        <w:t>Gong, C., &amp; Maquat, L. E. (2011). LncRNAs transactivate STAU1-mediated mRNA decay by duplexing with 3’ UTRs via Alu elements. </w:t>
      </w:r>
      <w:r>
        <w:rPr>
          <w:i/>
        </w:rPr>
        <w:t>Nature</w:t>
      </w:r>
      <w:r>
        <w:rPr/>
        <w:t>, </w:t>
      </w:r>
      <w:r>
        <w:rPr>
          <w:i/>
        </w:rPr>
        <w:t>470</w:t>
      </w:r>
      <w:r>
        <w:rPr/>
        <w:t>(7333), 284-288. https://doi.org/10.1038/nature09701</w:t>
      </w:r>
    </w:p>
    <w:p>
      <w:pPr>
        <w:pStyle w:val="BodyText"/>
        <w:spacing w:line="360" w:lineRule="auto" w:before="1"/>
        <w:ind w:left="840" w:right="1336" w:hanging="721"/>
        <w:jc w:val="both"/>
      </w:pPr>
      <w:r>
        <w:rPr/>
        <w:t>Hale,</w:t>
      </w:r>
      <w:r>
        <w:rPr>
          <w:spacing w:val="-4"/>
        </w:rPr>
        <w:t> </w:t>
      </w:r>
      <w:r>
        <w:rPr/>
        <w:t>D.</w:t>
      </w:r>
      <w:r>
        <w:rPr>
          <w:spacing w:val="-8"/>
        </w:rPr>
        <w:t> </w:t>
      </w:r>
      <w:r>
        <w:rPr/>
        <w:t>W.</w:t>
      </w:r>
      <w:r>
        <w:rPr>
          <w:spacing w:val="-8"/>
        </w:rPr>
        <w:t> </w:t>
      </w:r>
      <w:r>
        <w:rPr/>
        <w:t>(1996).</w:t>
      </w:r>
      <w:r>
        <w:rPr>
          <w:spacing w:val="-3"/>
        </w:rPr>
        <w:t> </w:t>
      </w:r>
      <w:r>
        <w:rPr/>
        <w:t>Mammalian</w:t>
      </w:r>
      <w:r>
        <w:rPr>
          <w:spacing w:val="-5"/>
        </w:rPr>
        <w:t> </w:t>
      </w:r>
      <w:r>
        <w:rPr/>
        <w:t>Spermatogenesis.</w:t>
      </w:r>
      <w:r>
        <w:rPr>
          <w:spacing w:val="-3"/>
        </w:rPr>
        <w:t> </w:t>
      </w:r>
      <w:r>
        <w:rPr/>
        <w:t>En</w:t>
      </w:r>
      <w:r>
        <w:rPr>
          <w:spacing w:val="-5"/>
        </w:rPr>
        <w:t> </w:t>
      </w:r>
      <w:r>
        <w:rPr>
          <w:i/>
        </w:rPr>
        <w:t>Advances</w:t>
      </w:r>
      <w:r>
        <w:rPr>
          <w:i/>
          <w:spacing w:val="-7"/>
        </w:rPr>
        <w:t> </w:t>
      </w:r>
      <w:r>
        <w:rPr>
          <w:i/>
        </w:rPr>
        <w:t>in</w:t>
      </w:r>
      <w:r>
        <w:rPr>
          <w:i/>
          <w:spacing w:val="-9"/>
        </w:rPr>
        <w:t> </w:t>
      </w:r>
      <w:r>
        <w:rPr>
          <w:i/>
        </w:rPr>
        <w:t>Genome</w:t>
      </w:r>
      <w:r>
        <w:rPr>
          <w:i/>
          <w:spacing w:val="-6"/>
        </w:rPr>
        <w:t> </w:t>
      </w:r>
      <w:r>
        <w:rPr>
          <w:i/>
        </w:rPr>
        <w:t>Biology</w:t>
      </w:r>
      <w:r>
        <w:rPr>
          <w:i/>
          <w:spacing w:val="-8"/>
        </w:rPr>
        <w:t> </w:t>
      </w:r>
      <w:r>
        <w:rPr/>
        <w:t>(Vol.</w:t>
      </w:r>
      <w:r>
        <w:rPr>
          <w:spacing w:val="-3"/>
        </w:rPr>
        <w:t> 4, </w:t>
      </w:r>
      <w:r>
        <w:rPr/>
        <w:t>pp. 249-304). Elsevier.</w:t>
      </w:r>
      <w:r>
        <w:rPr>
          <w:spacing w:val="-1"/>
        </w:rPr>
        <w:t> </w:t>
      </w:r>
      <w:r>
        <w:rPr/>
        <w:t>https://doi.org/10.1016/S1067-5701(96)80011-8</w:t>
      </w:r>
    </w:p>
    <w:p>
      <w:pPr>
        <w:pStyle w:val="BodyText"/>
        <w:spacing w:line="360" w:lineRule="auto"/>
        <w:ind w:left="840" w:right="1342" w:hanging="721"/>
        <w:jc w:val="both"/>
      </w:pPr>
      <w:r>
        <w:rPr/>
        <w:t>Han, J., Zhang, J., Chen, L., Shen, B., Zhou, J., Hu, B., Du, Y., Tate, P. H., Huang, X., &amp; Zhang, W. (2014). Efficient in vivo deletion of a large imprinted lncRNA by CRISPR/Cas9. </w:t>
      </w:r>
      <w:r>
        <w:rPr>
          <w:i/>
        </w:rPr>
        <w:t>RNA Biology</w:t>
      </w:r>
      <w:r>
        <w:rPr/>
        <w:t>, </w:t>
      </w:r>
      <w:r>
        <w:rPr>
          <w:i/>
        </w:rPr>
        <w:t>11</w:t>
      </w:r>
      <w:r>
        <w:rPr/>
        <w:t>(7), 829-835. https://doi.org/10.4161/rna.29624</w:t>
      </w:r>
    </w:p>
    <w:p>
      <w:pPr>
        <w:pStyle w:val="BodyText"/>
        <w:spacing w:line="360" w:lineRule="auto"/>
        <w:ind w:left="840" w:right="1330" w:hanging="721"/>
        <w:jc w:val="both"/>
      </w:pPr>
      <w:r>
        <w:rPr/>
        <w:t>Han, Y. J., Ma, S. F., Yourek, G., Park, Y., &amp; Garcia, J. G. N. (2011). A transcribed pseudogene of </w:t>
      </w:r>
      <w:r>
        <w:rPr>
          <w:i/>
        </w:rPr>
        <w:t>MYLK </w:t>
      </w:r>
      <w:r>
        <w:rPr/>
        <w:t>promotes cell proliferation. </w:t>
      </w:r>
      <w:r>
        <w:rPr>
          <w:i/>
        </w:rPr>
        <w:t>The FASEB Journal</w:t>
      </w:r>
      <w:r>
        <w:rPr/>
        <w:t>, </w:t>
      </w:r>
      <w:r>
        <w:rPr>
          <w:i/>
        </w:rPr>
        <w:t>25</w:t>
      </w:r>
      <w:r>
        <w:rPr/>
        <w:t>(7), 2305- 2312. https://doi.org/10.1096/fj.10-177808</w:t>
      </w:r>
    </w:p>
    <w:p>
      <w:pPr>
        <w:pStyle w:val="BodyText"/>
        <w:spacing w:line="360" w:lineRule="auto" w:before="2"/>
        <w:ind w:left="840" w:right="1336" w:hanging="721"/>
        <w:jc w:val="both"/>
      </w:pPr>
      <w:r>
        <w:rPr/>
        <w:t>Hanss,</w:t>
      </w:r>
      <w:r>
        <w:rPr>
          <w:spacing w:val="-4"/>
        </w:rPr>
        <w:t> </w:t>
      </w:r>
      <w:r>
        <w:rPr/>
        <w:t>Z.,</w:t>
      </w:r>
      <w:r>
        <w:rPr>
          <w:spacing w:val="-4"/>
        </w:rPr>
        <w:t> </w:t>
      </w:r>
      <w:r>
        <w:rPr/>
        <w:t>Boussaad,</w:t>
      </w:r>
      <w:r>
        <w:rPr>
          <w:spacing w:val="-4"/>
        </w:rPr>
        <w:t> </w:t>
      </w:r>
      <w:r>
        <w:rPr/>
        <w:t>I.,</w:t>
      </w:r>
      <w:r>
        <w:rPr>
          <w:spacing w:val="-4"/>
        </w:rPr>
        <w:t> </w:t>
      </w:r>
      <w:r>
        <w:rPr/>
        <w:t>Jarazo,</w:t>
      </w:r>
      <w:r>
        <w:rPr>
          <w:spacing w:val="-3"/>
        </w:rPr>
        <w:t> </w:t>
      </w:r>
      <w:r>
        <w:rPr/>
        <w:t>J.,</w:t>
      </w:r>
      <w:r>
        <w:rPr>
          <w:spacing w:val="-4"/>
        </w:rPr>
        <w:t> </w:t>
      </w:r>
      <w:r>
        <w:rPr/>
        <w:t>Schwamborn,</w:t>
      </w:r>
      <w:r>
        <w:rPr>
          <w:spacing w:val="-4"/>
        </w:rPr>
        <w:t> </w:t>
      </w:r>
      <w:r>
        <w:rPr/>
        <w:t>J.</w:t>
      </w:r>
      <w:r>
        <w:rPr>
          <w:spacing w:val="-7"/>
        </w:rPr>
        <w:t> </w:t>
      </w:r>
      <w:r>
        <w:rPr/>
        <w:t>C.,</w:t>
      </w:r>
      <w:r>
        <w:rPr>
          <w:spacing w:val="-4"/>
        </w:rPr>
        <w:t> </w:t>
      </w:r>
      <w:r>
        <w:rPr/>
        <w:t>&amp;</w:t>
      </w:r>
      <w:r>
        <w:rPr>
          <w:spacing w:val="-5"/>
        </w:rPr>
        <w:t> </w:t>
      </w:r>
      <w:r>
        <w:rPr/>
        <w:t>Krüger,</w:t>
      </w:r>
      <w:r>
        <w:rPr>
          <w:spacing w:val="-4"/>
        </w:rPr>
        <w:t> </w:t>
      </w:r>
      <w:r>
        <w:rPr/>
        <w:t>R.</w:t>
      </w:r>
      <w:r>
        <w:rPr>
          <w:spacing w:val="-8"/>
        </w:rPr>
        <w:t> </w:t>
      </w:r>
      <w:r>
        <w:rPr/>
        <w:t>(2020).</w:t>
      </w:r>
      <w:r>
        <w:rPr>
          <w:spacing w:val="-4"/>
        </w:rPr>
        <w:t> </w:t>
      </w:r>
      <w:r>
        <w:rPr/>
        <w:t>Quality</w:t>
      </w:r>
      <w:r>
        <w:rPr>
          <w:spacing w:val="-5"/>
        </w:rPr>
        <w:t> </w:t>
      </w:r>
      <w:r>
        <w:rPr/>
        <w:t>Control Strategy for CRISPR-Cas9-Based Gene Editing Complicated by a Pseudogene. </w:t>
      </w:r>
      <w:r>
        <w:rPr>
          <w:i/>
        </w:rPr>
        <w:t>Frontiers in Genetics</w:t>
      </w:r>
      <w:r>
        <w:rPr/>
        <w:t>, </w:t>
      </w:r>
      <w:r>
        <w:rPr>
          <w:i/>
        </w:rPr>
        <w:t>10</w:t>
      </w:r>
      <w:r>
        <w:rPr/>
        <w:t>, 1297.</w:t>
      </w:r>
      <w:r>
        <w:rPr>
          <w:spacing w:val="10"/>
        </w:rPr>
        <w:t> </w:t>
      </w:r>
      <w:r>
        <w:rPr/>
        <w:t>https://doi.org/10.3389/fgene.2019.01297</w:t>
      </w:r>
    </w:p>
    <w:p>
      <w:pPr>
        <w:pStyle w:val="BodyText"/>
        <w:rPr>
          <w:sz w:val="36"/>
        </w:rPr>
      </w:pPr>
    </w:p>
    <w:p>
      <w:pPr>
        <w:pStyle w:val="BodyText"/>
        <w:ind w:left="119"/>
      </w:pPr>
      <w:r>
        <w:rPr/>
        <w:t>Ho, T.-T., Zhou, N., Huang, J., Koirala, P., Xu, M., Fung, R., Wu, F., &amp; Mo, Y.-Y. (2015).</w:t>
      </w:r>
    </w:p>
    <w:p>
      <w:pPr>
        <w:pStyle w:val="BodyText"/>
        <w:spacing w:before="137"/>
        <w:ind w:left="902"/>
      </w:pPr>
      <w:r>
        <w:rPr/>
        <w:t>Targeting non-coding RNAs with the CRISPR/Cas9 system in human cell lines.</w:t>
      </w:r>
    </w:p>
    <w:p>
      <w:pPr>
        <w:spacing w:before="137"/>
        <w:ind w:left="902" w:right="0" w:firstLine="0"/>
        <w:jc w:val="left"/>
        <w:rPr>
          <w:sz w:val="24"/>
        </w:rPr>
      </w:pPr>
      <w:r>
        <w:rPr>
          <w:i/>
          <w:sz w:val="24"/>
        </w:rPr>
        <w:t>Nucleic Acids Research</w:t>
      </w:r>
      <w:r>
        <w:rPr>
          <w:sz w:val="24"/>
        </w:rPr>
        <w:t>, </w:t>
      </w:r>
      <w:r>
        <w:rPr>
          <w:i/>
          <w:sz w:val="24"/>
        </w:rPr>
        <w:t>43</w:t>
      </w:r>
      <w:r>
        <w:rPr>
          <w:sz w:val="24"/>
        </w:rPr>
        <w:t>(3), e17-e17. https://doi.org/10.1093/nar/gku1198</w:t>
      </w:r>
    </w:p>
    <w:p>
      <w:pPr>
        <w:pStyle w:val="BodyText"/>
        <w:tabs>
          <w:tab w:pos="1823" w:val="left" w:leader="none"/>
          <w:tab w:pos="2615" w:val="left" w:leader="none"/>
          <w:tab w:pos="3934" w:val="left" w:leader="none"/>
          <w:tab w:pos="5680" w:val="left" w:leader="none"/>
          <w:tab w:pos="6649" w:val="left" w:leader="none"/>
          <w:tab w:pos="7863" w:val="left" w:leader="none"/>
        </w:tabs>
        <w:spacing w:line="362" w:lineRule="auto" w:before="137"/>
        <w:ind w:left="840" w:right="1335" w:hanging="721"/>
      </w:pPr>
      <w:r>
        <w:rPr/>
        <w:t>Hsu, P. D., Lander, E. S., &amp; Zhang, F. (2014). Development and Applications of CRISPR- Cas9</w:t>
        <w:tab/>
        <w:t>for</w:t>
        <w:tab/>
        <w:t>Genome</w:t>
        <w:tab/>
        <w:t>Engineering.</w:t>
        <w:tab/>
      </w:r>
      <w:r>
        <w:rPr>
          <w:i/>
        </w:rPr>
        <w:t>Cell</w:t>
      </w:r>
      <w:r>
        <w:rPr/>
        <w:t>,</w:t>
        <w:tab/>
      </w:r>
      <w:r>
        <w:rPr>
          <w:i/>
        </w:rPr>
        <w:t>157</w:t>
      </w:r>
      <w:r>
        <w:rPr/>
        <w:t>(6),</w:t>
        <w:tab/>
      </w:r>
      <w:r>
        <w:rPr>
          <w:spacing w:val="-3"/>
        </w:rPr>
        <w:t>1262-1278.</w:t>
      </w:r>
    </w:p>
    <w:p>
      <w:pPr>
        <w:pStyle w:val="BodyText"/>
        <w:spacing w:line="274" w:lineRule="exact"/>
        <w:ind w:left="840"/>
      </w:pPr>
      <w:r>
        <w:rPr/>
        <w:t>https://doi.org/10.1016/j.cell.2014.05.010</w:t>
      </w:r>
    </w:p>
    <w:p>
      <w:pPr>
        <w:spacing w:line="360" w:lineRule="auto" w:before="137"/>
        <w:ind w:left="840" w:right="2355" w:hanging="721"/>
        <w:jc w:val="left"/>
        <w:rPr>
          <w:sz w:val="24"/>
        </w:rPr>
      </w:pPr>
      <w:r>
        <w:rPr>
          <w:sz w:val="24"/>
        </w:rPr>
        <w:t>Kanduri, C. (2011). Kcnq1ot1: A chromatin regulatory RNA. </w:t>
      </w:r>
      <w:r>
        <w:rPr>
          <w:i/>
          <w:sz w:val="24"/>
        </w:rPr>
        <w:t>Seminars in Cell &amp; </w:t>
      </w:r>
      <w:r>
        <w:rPr>
          <w:i/>
          <w:sz w:val="24"/>
        </w:rPr>
        <w:t>Developmental Biology</w:t>
      </w:r>
      <w:r>
        <w:rPr>
          <w:sz w:val="24"/>
        </w:rPr>
        <w:t>, </w:t>
      </w:r>
      <w:r>
        <w:rPr>
          <w:i/>
          <w:sz w:val="24"/>
        </w:rPr>
        <w:t>22</w:t>
      </w:r>
      <w:r>
        <w:rPr>
          <w:sz w:val="24"/>
        </w:rPr>
        <w:t>(4), 343-350. https://doi.org/10.1016/j.semcdb.2011.02.020</w:t>
      </w:r>
    </w:p>
    <w:p>
      <w:pPr>
        <w:pStyle w:val="BodyText"/>
        <w:spacing w:line="360" w:lineRule="auto" w:before="2"/>
        <w:ind w:left="840" w:right="1335" w:hanging="721"/>
        <w:jc w:val="both"/>
      </w:pPr>
      <w:r>
        <w:rPr/>
        <w:t>Konermann, S., Lotfy, P., Brideau, N. J., Oki, J., Shokhirev, M. N., &amp; Hsu, P. </w:t>
      </w:r>
      <w:r>
        <w:rPr>
          <w:spacing w:val="-3"/>
        </w:rPr>
        <w:t>D. </w:t>
      </w:r>
      <w:r>
        <w:rPr/>
        <w:t>(2018). Transcriptome</w:t>
      </w:r>
      <w:r>
        <w:rPr>
          <w:spacing w:val="-16"/>
        </w:rPr>
        <w:t> </w:t>
      </w:r>
      <w:r>
        <w:rPr/>
        <w:t>Engineering</w:t>
      </w:r>
      <w:r>
        <w:rPr>
          <w:spacing w:val="-17"/>
        </w:rPr>
        <w:t> </w:t>
      </w:r>
      <w:r>
        <w:rPr/>
        <w:t>with</w:t>
      </w:r>
      <w:r>
        <w:rPr>
          <w:spacing w:val="-15"/>
        </w:rPr>
        <w:t> </w:t>
      </w:r>
      <w:r>
        <w:rPr/>
        <w:t>RNA-Targeting</w:t>
      </w:r>
      <w:r>
        <w:rPr>
          <w:spacing w:val="-15"/>
        </w:rPr>
        <w:t> </w:t>
      </w:r>
      <w:r>
        <w:rPr/>
        <w:t>Type</w:t>
      </w:r>
      <w:r>
        <w:rPr>
          <w:spacing w:val="-16"/>
        </w:rPr>
        <w:t> </w:t>
      </w:r>
      <w:r>
        <w:rPr/>
        <w:t>VI-D</w:t>
      </w:r>
      <w:r>
        <w:rPr>
          <w:spacing w:val="-16"/>
        </w:rPr>
        <w:t> </w:t>
      </w:r>
      <w:r>
        <w:rPr/>
        <w:t>CRISPR</w:t>
      </w:r>
      <w:r>
        <w:rPr>
          <w:spacing w:val="-17"/>
        </w:rPr>
        <w:t> </w:t>
      </w:r>
      <w:r>
        <w:rPr/>
        <w:t>Effectors.</w:t>
      </w:r>
      <w:r>
        <w:rPr>
          <w:spacing w:val="-10"/>
        </w:rPr>
        <w:t> </w:t>
      </w:r>
      <w:r>
        <w:rPr>
          <w:i/>
        </w:rPr>
        <w:t>Cell</w:t>
      </w:r>
      <w:r>
        <w:rPr/>
        <w:t>, </w:t>
      </w:r>
      <w:r>
        <w:rPr>
          <w:i/>
        </w:rPr>
        <w:t>173</w:t>
      </w:r>
      <w:r>
        <w:rPr/>
        <w:t>(3), 665-676.e14.</w:t>
      </w:r>
      <w:r>
        <w:rPr>
          <w:spacing w:val="2"/>
        </w:rPr>
        <w:t> </w:t>
      </w:r>
      <w:r>
        <w:rPr/>
        <w:t>https://doi.org/10.1016/j.cell.2018.02.033</w:t>
      </w:r>
    </w:p>
    <w:p>
      <w:pPr>
        <w:spacing w:after="0" w:line="360" w:lineRule="auto"/>
        <w:jc w:val="both"/>
        <w:sectPr>
          <w:pgSz w:w="12240" w:h="15840"/>
          <w:pgMar w:header="7" w:footer="0" w:top="1040" w:bottom="280" w:left="1580" w:right="360"/>
        </w:sectPr>
      </w:pPr>
    </w:p>
    <w:p>
      <w:pPr>
        <w:pStyle w:val="BodyText"/>
        <w:spacing w:before="80"/>
        <w:ind w:left="119"/>
        <w:jc w:val="both"/>
      </w:pPr>
      <w:r>
        <w:rPr/>
        <w:t>Khaitan, D., Dinger, M. E., Mazar, J., Crawford, J., Smith, M. A., Mattick, J. S., &amp; Perera,</w:t>
      </w:r>
    </w:p>
    <w:p>
      <w:pPr>
        <w:pStyle w:val="BodyText"/>
        <w:spacing w:line="362" w:lineRule="auto" w:before="137"/>
        <w:ind w:left="840" w:right="1333"/>
        <w:jc w:val="both"/>
      </w:pPr>
      <w:r>
        <w:rPr/>
        <w:t>R. J. (2011). The melanoma-upregulated long noncoding RNA SPRY4-IT1 modulates apoptosis and invasion. </w:t>
      </w:r>
      <w:r>
        <w:rPr>
          <w:i/>
        </w:rPr>
        <w:t>Cancer Research</w:t>
      </w:r>
      <w:r>
        <w:rPr/>
        <w:t>, </w:t>
      </w:r>
      <w:r>
        <w:rPr>
          <w:i/>
        </w:rPr>
        <w:t>71</w:t>
      </w:r>
      <w:r>
        <w:rPr/>
        <w:t>(11), 3852-3862. https://doi.org/10.1158/0008-5472.CAN-10-4460</w:t>
      </w:r>
    </w:p>
    <w:p>
      <w:pPr>
        <w:pStyle w:val="BodyText"/>
        <w:spacing w:line="360" w:lineRule="auto"/>
        <w:ind w:left="840" w:right="1339" w:hanging="721"/>
        <w:jc w:val="both"/>
      </w:pPr>
      <w:r>
        <w:rPr/>
        <w:t>Loewer, S., Cabili, </w:t>
      </w:r>
      <w:r>
        <w:rPr>
          <w:spacing w:val="-4"/>
        </w:rPr>
        <w:t>M. </w:t>
      </w:r>
      <w:r>
        <w:rPr/>
        <w:t>N., Guttman, M., Loh, Y.-H., Thomas, K., Park, I. H., Garber, M., Curran,</w:t>
      </w:r>
      <w:r>
        <w:rPr>
          <w:spacing w:val="-5"/>
        </w:rPr>
        <w:t> </w:t>
      </w:r>
      <w:r>
        <w:rPr/>
        <w:t>M.,</w:t>
      </w:r>
      <w:r>
        <w:rPr>
          <w:spacing w:val="-9"/>
        </w:rPr>
        <w:t> </w:t>
      </w:r>
      <w:r>
        <w:rPr/>
        <w:t>Onder,</w:t>
      </w:r>
      <w:r>
        <w:rPr>
          <w:spacing w:val="-13"/>
        </w:rPr>
        <w:t> </w:t>
      </w:r>
      <w:r>
        <w:rPr/>
        <w:t>T.,</w:t>
      </w:r>
      <w:r>
        <w:rPr>
          <w:spacing w:val="-4"/>
        </w:rPr>
        <w:t> </w:t>
      </w:r>
      <w:r>
        <w:rPr/>
        <w:t>Agarwal,</w:t>
      </w:r>
      <w:r>
        <w:rPr>
          <w:spacing w:val="-9"/>
        </w:rPr>
        <w:t> </w:t>
      </w:r>
      <w:r>
        <w:rPr/>
        <w:t>S.,</w:t>
      </w:r>
      <w:r>
        <w:rPr>
          <w:spacing w:val="-8"/>
        </w:rPr>
        <w:t> </w:t>
      </w:r>
      <w:r>
        <w:rPr/>
        <w:t>Manos,</w:t>
      </w:r>
      <w:r>
        <w:rPr>
          <w:spacing w:val="-5"/>
        </w:rPr>
        <w:t> </w:t>
      </w:r>
      <w:r>
        <w:rPr/>
        <w:t>P.</w:t>
      </w:r>
      <w:r>
        <w:rPr>
          <w:spacing w:val="-5"/>
        </w:rPr>
        <w:t> </w:t>
      </w:r>
      <w:r>
        <w:rPr/>
        <w:t>D.,</w:t>
      </w:r>
      <w:r>
        <w:rPr>
          <w:spacing w:val="-13"/>
        </w:rPr>
        <w:t> </w:t>
      </w:r>
      <w:r>
        <w:rPr/>
        <w:t>Datta,</w:t>
      </w:r>
      <w:r>
        <w:rPr>
          <w:spacing w:val="-5"/>
        </w:rPr>
        <w:t> </w:t>
      </w:r>
      <w:r>
        <w:rPr/>
        <w:t>S.,</w:t>
      </w:r>
      <w:r>
        <w:rPr>
          <w:spacing w:val="-8"/>
        </w:rPr>
        <w:t> </w:t>
      </w:r>
      <w:r>
        <w:rPr/>
        <w:t>Lander,</w:t>
      </w:r>
      <w:r>
        <w:rPr>
          <w:spacing w:val="-8"/>
        </w:rPr>
        <w:t> </w:t>
      </w:r>
      <w:r>
        <w:rPr/>
        <w:t>E.</w:t>
      </w:r>
      <w:r>
        <w:rPr>
          <w:spacing w:val="-9"/>
        </w:rPr>
        <w:t> </w:t>
      </w:r>
      <w:r>
        <w:rPr/>
        <w:t>S.,</w:t>
      </w:r>
      <w:r>
        <w:rPr>
          <w:spacing w:val="-8"/>
        </w:rPr>
        <w:t> </w:t>
      </w:r>
      <w:r>
        <w:rPr/>
        <w:t>Schlaeger,</w:t>
      </w:r>
    </w:p>
    <w:p>
      <w:pPr>
        <w:pStyle w:val="BodyText"/>
        <w:spacing w:line="360" w:lineRule="auto"/>
        <w:ind w:left="840" w:right="1340"/>
        <w:jc w:val="both"/>
      </w:pPr>
      <w:r>
        <w:rPr/>
        <w:t>T. M., Daley, </w:t>
      </w:r>
      <w:r>
        <w:rPr>
          <w:spacing w:val="-3"/>
        </w:rPr>
        <w:t>G. </w:t>
      </w:r>
      <w:r>
        <w:rPr/>
        <w:t>Q., &amp; Rinn, J. L. (2010). Large intergenic non-coding RNA-RoR modulates</w:t>
      </w:r>
      <w:r>
        <w:rPr>
          <w:spacing w:val="-14"/>
        </w:rPr>
        <w:t> </w:t>
      </w:r>
      <w:r>
        <w:rPr/>
        <w:t>reprogramming</w:t>
      </w:r>
      <w:r>
        <w:rPr>
          <w:spacing w:val="-14"/>
        </w:rPr>
        <w:t> </w:t>
      </w:r>
      <w:r>
        <w:rPr/>
        <w:t>of</w:t>
      </w:r>
      <w:r>
        <w:rPr>
          <w:spacing w:val="-10"/>
        </w:rPr>
        <w:t> </w:t>
      </w:r>
      <w:r>
        <w:rPr/>
        <w:t>human</w:t>
      </w:r>
      <w:r>
        <w:rPr>
          <w:spacing w:val="-11"/>
        </w:rPr>
        <w:t> </w:t>
      </w:r>
      <w:r>
        <w:rPr/>
        <w:t>induced</w:t>
      </w:r>
      <w:r>
        <w:rPr>
          <w:spacing w:val="-11"/>
        </w:rPr>
        <w:t> </w:t>
      </w:r>
      <w:r>
        <w:rPr/>
        <w:t>pluripotent</w:t>
      </w:r>
      <w:r>
        <w:rPr>
          <w:spacing w:val="-11"/>
        </w:rPr>
        <w:t> </w:t>
      </w:r>
      <w:r>
        <w:rPr/>
        <w:t>stem</w:t>
      </w:r>
      <w:r>
        <w:rPr>
          <w:spacing w:val="-11"/>
        </w:rPr>
        <w:t> </w:t>
      </w:r>
      <w:r>
        <w:rPr/>
        <w:t>cells.</w:t>
      </w:r>
      <w:r>
        <w:rPr>
          <w:spacing w:val="-9"/>
        </w:rPr>
        <w:t> </w:t>
      </w:r>
      <w:r>
        <w:rPr>
          <w:i/>
        </w:rPr>
        <w:t>Nature</w:t>
      </w:r>
      <w:r>
        <w:rPr>
          <w:i/>
          <w:spacing w:val="-12"/>
        </w:rPr>
        <w:t> </w:t>
      </w:r>
      <w:r>
        <w:rPr>
          <w:i/>
        </w:rPr>
        <w:t>Genetics</w:t>
      </w:r>
      <w:r>
        <w:rPr/>
        <w:t>, </w:t>
      </w:r>
      <w:r>
        <w:rPr>
          <w:i/>
        </w:rPr>
        <w:t>42</w:t>
      </w:r>
      <w:r>
        <w:rPr/>
        <w:t>(12), 1113-1117.</w:t>
      </w:r>
      <w:r>
        <w:rPr>
          <w:spacing w:val="2"/>
        </w:rPr>
        <w:t> </w:t>
      </w:r>
      <w:r>
        <w:rPr/>
        <w:t>https://doi.org/10.1038/ng.710</w:t>
      </w:r>
    </w:p>
    <w:p>
      <w:pPr>
        <w:pStyle w:val="BodyText"/>
        <w:spacing w:line="362" w:lineRule="auto"/>
        <w:ind w:left="840" w:right="1336" w:hanging="721"/>
        <w:jc w:val="both"/>
      </w:pPr>
      <w:r>
        <w:rPr/>
        <w:t>Loureiro, A., &amp; da Silva, G. J. (2019). CRISPR-Cas: Converting A Bacterial Defence Mechanism into A State-of-the-Art Genetic Manipulation Tool. </w:t>
      </w:r>
      <w:r>
        <w:rPr>
          <w:i/>
        </w:rPr>
        <w:t>Antibiotics</w:t>
      </w:r>
      <w:r>
        <w:rPr/>
        <w:t>, </w:t>
      </w:r>
      <w:r>
        <w:rPr>
          <w:i/>
        </w:rPr>
        <w:t>8</w:t>
      </w:r>
      <w:r>
        <w:rPr/>
        <w:t>(1). https://doi.org/10.3390/antibiotics8010018</w:t>
      </w:r>
    </w:p>
    <w:p>
      <w:pPr>
        <w:pStyle w:val="BodyText"/>
        <w:spacing w:line="360" w:lineRule="auto"/>
        <w:ind w:left="840" w:right="1336" w:hanging="721"/>
        <w:jc w:val="both"/>
      </w:pPr>
      <w:r>
        <w:rPr/>
        <w:t>Nishimura, H., &amp; L’Hernault, S. W. (2017). Spermatogenesis. </w:t>
      </w:r>
      <w:r>
        <w:rPr>
          <w:i/>
        </w:rPr>
        <w:t>Current Biology</w:t>
      </w:r>
      <w:r>
        <w:rPr/>
        <w:t>, </w:t>
      </w:r>
      <w:r>
        <w:rPr>
          <w:i/>
        </w:rPr>
        <w:t>27</w:t>
      </w:r>
      <w:r>
        <w:rPr/>
        <w:t>(18), R988-R994. https://doi.org/10.1016/j.cub.2017.07.067</w:t>
      </w:r>
    </w:p>
    <w:p>
      <w:pPr>
        <w:pStyle w:val="BodyText"/>
        <w:spacing w:line="360" w:lineRule="auto"/>
        <w:ind w:left="840" w:right="1335" w:hanging="721"/>
        <w:jc w:val="both"/>
      </w:pPr>
      <w:r>
        <w:rPr/>
        <w:t>Niwa, J., Ishigaki, S., Doyu, M., Suzuki, T., Tanaka, K., &amp; Sobue, G. (2001). A Novel Centrosomal RING-Finger Protein, Dorfin, Mediates Ubiquitin Ligase Activity. </w:t>
      </w:r>
      <w:r>
        <w:rPr>
          <w:i/>
        </w:rPr>
        <w:t>Biochemical and Biophysical Research Communications</w:t>
      </w:r>
      <w:r>
        <w:rPr/>
        <w:t>, </w:t>
      </w:r>
      <w:r>
        <w:rPr>
          <w:i/>
        </w:rPr>
        <w:t>281</w:t>
      </w:r>
      <w:r>
        <w:rPr/>
        <w:t>(3), 706-713. https://doi.org/10.1006/bbrc.2001.4414</w:t>
      </w:r>
    </w:p>
    <w:p>
      <w:pPr>
        <w:pStyle w:val="BodyText"/>
        <w:spacing w:line="360" w:lineRule="auto"/>
        <w:ind w:left="840" w:right="1336" w:hanging="721"/>
        <w:jc w:val="both"/>
      </w:pPr>
      <w:r>
        <w:rPr/>
        <w:t>Párraga, M., &amp; del Mazo, J. (2000). XYbp, a novel RING-finger protein, is a component of the</w:t>
      </w:r>
      <w:r>
        <w:rPr>
          <w:spacing w:val="-9"/>
        </w:rPr>
        <w:t> </w:t>
      </w:r>
      <w:r>
        <w:rPr/>
        <w:t>XY</w:t>
      </w:r>
      <w:r>
        <w:rPr>
          <w:spacing w:val="-10"/>
        </w:rPr>
        <w:t> </w:t>
      </w:r>
      <w:r>
        <w:rPr/>
        <w:t>body</w:t>
      </w:r>
      <w:r>
        <w:rPr>
          <w:spacing w:val="-9"/>
        </w:rPr>
        <w:t> </w:t>
      </w:r>
      <w:r>
        <w:rPr/>
        <w:t>of</w:t>
      </w:r>
      <w:r>
        <w:rPr>
          <w:spacing w:val="-7"/>
        </w:rPr>
        <w:t> </w:t>
      </w:r>
      <w:r>
        <w:rPr/>
        <w:t>spermatocytes</w:t>
      </w:r>
      <w:r>
        <w:rPr>
          <w:spacing w:val="-10"/>
        </w:rPr>
        <w:t> </w:t>
      </w:r>
      <w:r>
        <w:rPr/>
        <w:t>and</w:t>
      </w:r>
      <w:r>
        <w:rPr>
          <w:spacing w:val="-9"/>
        </w:rPr>
        <w:t> </w:t>
      </w:r>
      <w:r>
        <w:rPr/>
        <w:t>centrosomes.</w:t>
      </w:r>
      <w:r>
        <w:rPr>
          <w:spacing w:val="-3"/>
        </w:rPr>
        <w:t> </w:t>
      </w:r>
      <w:r>
        <w:rPr>
          <w:i/>
        </w:rPr>
        <w:t>Mechanisms</w:t>
      </w:r>
      <w:r>
        <w:rPr>
          <w:i/>
          <w:spacing w:val="-11"/>
        </w:rPr>
        <w:t> </w:t>
      </w:r>
      <w:r>
        <w:rPr>
          <w:i/>
        </w:rPr>
        <w:t>of</w:t>
      </w:r>
      <w:r>
        <w:rPr>
          <w:i/>
          <w:spacing w:val="-8"/>
        </w:rPr>
        <w:t> </w:t>
      </w:r>
      <w:r>
        <w:rPr>
          <w:i/>
        </w:rPr>
        <w:t>Development</w:t>
      </w:r>
      <w:r>
        <w:rPr/>
        <w:t>,</w:t>
      </w:r>
      <w:r>
        <w:rPr>
          <w:spacing w:val="-6"/>
        </w:rPr>
        <w:t> </w:t>
      </w:r>
      <w:r>
        <w:rPr>
          <w:i/>
        </w:rPr>
        <w:t>90</w:t>
      </w:r>
      <w:r>
        <w:rPr/>
        <w:t>(1), 95-101.</w:t>
      </w:r>
      <w:r>
        <w:rPr>
          <w:spacing w:val="4"/>
        </w:rPr>
        <w:t> </w:t>
      </w:r>
      <w:r>
        <w:rPr/>
        <w:t>https://doi.org/10.1016/S0925-4773(99)00223-3</w:t>
      </w:r>
    </w:p>
    <w:p>
      <w:pPr>
        <w:pStyle w:val="BodyText"/>
        <w:spacing w:line="362" w:lineRule="auto"/>
        <w:ind w:left="840" w:right="1346" w:hanging="721"/>
        <w:jc w:val="both"/>
      </w:pPr>
      <w:r>
        <w:rPr/>
        <w:t>Pink, R. C., Wicks, K., Caley, D. P., Punch, E. K., Jacobs, L., &amp; Francisco Carter, D. R. (2011). Pseudogenes: Pseudo-functional or key regulators in health and disease? </w:t>
      </w:r>
      <w:r>
        <w:rPr>
          <w:i/>
        </w:rPr>
        <w:t>RNA</w:t>
      </w:r>
      <w:r>
        <w:rPr/>
        <w:t>, </w:t>
      </w:r>
      <w:r>
        <w:rPr>
          <w:i/>
        </w:rPr>
        <w:t>17</w:t>
      </w:r>
      <w:r>
        <w:rPr/>
        <w:t>(5), 792-798. https://doi.org/10.1261/rna.2658311</w:t>
      </w:r>
    </w:p>
    <w:p>
      <w:pPr>
        <w:pStyle w:val="BodyText"/>
        <w:spacing w:line="360" w:lineRule="auto"/>
        <w:ind w:left="840" w:right="1336" w:hanging="721"/>
        <w:jc w:val="both"/>
      </w:pPr>
      <w:r>
        <w:rPr/>
        <w:t>Pulido-Quetglas, C., Aparicio-Prat, E., Arnan, C., Polidori, T., Hermoso, T., Palumbo, E., Ponomarenko, J., Guigo, R., &amp; Johnson, R. (2017). Scalable Design of Paired CRISPR Guide RNAs for Genomic Deletion. </w:t>
      </w:r>
      <w:r>
        <w:rPr>
          <w:i/>
        </w:rPr>
        <w:t>PLOS Computational Biology</w:t>
      </w:r>
      <w:r>
        <w:rPr/>
        <w:t>, </w:t>
      </w:r>
      <w:r>
        <w:rPr>
          <w:i/>
        </w:rPr>
        <w:t>13</w:t>
      </w:r>
      <w:r>
        <w:rPr/>
        <w:t>(3), e1005341. https://doi.org/10.1371/journal.pcbi.1005341</w:t>
      </w:r>
    </w:p>
    <w:p>
      <w:pPr>
        <w:spacing w:line="360" w:lineRule="auto" w:before="0"/>
        <w:ind w:left="840" w:right="1333" w:hanging="721"/>
        <w:jc w:val="both"/>
        <w:rPr>
          <w:sz w:val="24"/>
        </w:rPr>
      </w:pPr>
      <w:r>
        <w:rPr>
          <w:sz w:val="24"/>
        </w:rPr>
        <w:t>Rejas,</w:t>
      </w:r>
      <w:r>
        <w:rPr>
          <w:spacing w:val="-9"/>
          <w:sz w:val="24"/>
        </w:rPr>
        <w:t> </w:t>
      </w:r>
      <w:r>
        <w:rPr>
          <w:sz w:val="24"/>
        </w:rPr>
        <w:t>M.</w:t>
      </w:r>
      <w:r>
        <w:rPr>
          <w:spacing w:val="-8"/>
          <w:sz w:val="24"/>
        </w:rPr>
        <w:t> </w:t>
      </w:r>
      <w:r>
        <w:rPr>
          <w:sz w:val="24"/>
        </w:rPr>
        <w:t>(2016).</w:t>
      </w:r>
      <w:r>
        <w:rPr>
          <w:spacing w:val="-10"/>
          <w:sz w:val="24"/>
        </w:rPr>
        <w:t> </w:t>
      </w:r>
      <w:r>
        <w:rPr>
          <w:i/>
          <w:sz w:val="24"/>
        </w:rPr>
        <w:t>Estudio</w:t>
      </w:r>
      <w:r>
        <w:rPr>
          <w:i/>
          <w:spacing w:val="-10"/>
          <w:sz w:val="24"/>
        </w:rPr>
        <w:t> </w:t>
      </w:r>
      <w:r>
        <w:rPr>
          <w:i/>
          <w:sz w:val="24"/>
        </w:rPr>
        <w:t>de</w:t>
      </w:r>
      <w:r>
        <w:rPr>
          <w:i/>
          <w:spacing w:val="-15"/>
          <w:sz w:val="24"/>
        </w:rPr>
        <w:t> </w:t>
      </w:r>
      <w:r>
        <w:rPr>
          <w:i/>
          <w:sz w:val="24"/>
        </w:rPr>
        <w:t>la</w:t>
      </w:r>
      <w:r>
        <w:rPr>
          <w:i/>
          <w:spacing w:val="-9"/>
          <w:sz w:val="24"/>
        </w:rPr>
        <w:t> </w:t>
      </w:r>
      <w:r>
        <w:rPr>
          <w:i/>
          <w:sz w:val="24"/>
        </w:rPr>
        <w:t>expresión</w:t>
      </w:r>
      <w:r>
        <w:rPr>
          <w:i/>
          <w:spacing w:val="-9"/>
          <w:sz w:val="24"/>
        </w:rPr>
        <w:t> </w:t>
      </w:r>
      <w:r>
        <w:rPr>
          <w:i/>
          <w:sz w:val="24"/>
        </w:rPr>
        <w:t>de</w:t>
      </w:r>
      <w:r>
        <w:rPr>
          <w:i/>
          <w:spacing w:val="-11"/>
          <w:sz w:val="24"/>
        </w:rPr>
        <w:t> </w:t>
      </w:r>
      <w:r>
        <w:rPr>
          <w:i/>
          <w:sz w:val="24"/>
        </w:rPr>
        <w:t>Rnf19a</w:t>
      </w:r>
      <w:r>
        <w:rPr>
          <w:i/>
          <w:spacing w:val="-10"/>
          <w:sz w:val="24"/>
        </w:rPr>
        <w:t> </w:t>
      </w:r>
      <w:r>
        <w:rPr>
          <w:i/>
          <w:sz w:val="24"/>
        </w:rPr>
        <w:t>frente</w:t>
      </w:r>
      <w:r>
        <w:rPr>
          <w:i/>
          <w:spacing w:val="-10"/>
          <w:sz w:val="24"/>
        </w:rPr>
        <w:t> </w:t>
      </w:r>
      <w:r>
        <w:rPr>
          <w:i/>
          <w:sz w:val="24"/>
        </w:rPr>
        <w:t>a</w:t>
      </w:r>
      <w:r>
        <w:rPr>
          <w:i/>
          <w:spacing w:val="-10"/>
          <w:sz w:val="24"/>
        </w:rPr>
        <w:t> </w:t>
      </w:r>
      <w:r>
        <w:rPr>
          <w:i/>
          <w:sz w:val="24"/>
        </w:rPr>
        <w:t>choque</w:t>
      </w:r>
      <w:r>
        <w:rPr>
          <w:i/>
          <w:spacing w:val="-11"/>
          <w:sz w:val="24"/>
        </w:rPr>
        <w:t> </w:t>
      </w:r>
      <w:r>
        <w:rPr>
          <w:i/>
          <w:sz w:val="24"/>
        </w:rPr>
        <w:t>térmico</w:t>
      </w:r>
      <w:r>
        <w:rPr>
          <w:i/>
          <w:spacing w:val="-10"/>
          <w:sz w:val="24"/>
        </w:rPr>
        <w:t> </w:t>
      </w:r>
      <w:r>
        <w:rPr>
          <w:i/>
          <w:sz w:val="24"/>
        </w:rPr>
        <w:t>en</w:t>
      </w:r>
      <w:r>
        <w:rPr>
          <w:i/>
          <w:spacing w:val="-10"/>
          <w:sz w:val="24"/>
        </w:rPr>
        <w:t> </w:t>
      </w:r>
      <w:r>
        <w:rPr>
          <w:i/>
          <w:sz w:val="24"/>
        </w:rPr>
        <w:t>células</w:t>
      </w:r>
      <w:r>
        <w:rPr>
          <w:i/>
          <w:spacing w:val="-12"/>
          <w:sz w:val="24"/>
        </w:rPr>
        <w:t> </w:t>
      </w:r>
      <w:r>
        <w:rPr>
          <w:i/>
          <w:sz w:val="24"/>
        </w:rPr>
        <w:t>NIH- </w:t>
      </w:r>
      <w:r>
        <w:rPr>
          <w:i/>
          <w:sz w:val="24"/>
        </w:rPr>
        <w:t>3T3, GC-1 y GC-2 de ratón in vitro y en testículo de ratón in vivo. </w:t>
      </w:r>
      <w:r>
        <w:rPr>
          <w:sz w:val="24"/>
        </w:rPr>
        <w:t>Universidad de Valparaiso.</w:t>
      </w:r>
    </w:p>
    <w:p>
      <w:pPr>
        <w:spacing w:after="0" w:line="360" w:lineRule="auto"/>
        <w:jc w:val="both"/>
        <w:rPr>
          <w:sz w:val="24"/>
        </w:rPr>
        <w:sectPr>
          <w:pgSz w:w="12240" w:h="15840"/>
          <w:pgMar w:header="7" w:footer="0" w:top="1040" w:bottom="280" w:left="1580" w:right="360"/>
        </w:sectPr>
      </w:pPr>
    </w:p>
    <w:p>
      <w:pPr>
        <w:pStyle w:val="BodyText"/>
        <w:spacing w:line="360" w:lineRule="auto" w:before="80"/>
        <w:ind w:left="840" w:right="1335" w:hanging="721"/>
        <w:jc w:val="both"/>
      </w:pPr>
      <w:r>
        <w:rPr/>
        <w:t>Salmena,</w:t>
      </w:r>
      <w:r>
        <w:rPr>
          <w:spacing w:val="-5"/>
        </w:rPr>
        <w:t> </w:t>
      </w:r>
      <w:r>
        <w:rPr/>
        <w:t>L.,</w:t>
      </w:r>
      <w:r>
        <w:rPr>
          <w:spacing w:val="-3"/>
        </w:rPr>
        <w:t> </w:t>
      </w:r>
      <w:r>
        <w:rPr/>
        <w:t>Poliseno,</w:t>
      </w:r>
      <w:r>
        <w:rPr>
          <w:spacing w:val="-4"/>
        </w:rPr>
        <w:t> </w:t>
      </w:r>
      <w:r>
        <w:rPr/>
        <w:t>L.,</w:t>
      </w:r>
      <w:r>
        <w:rPr>
          <w:spacing w:val="-9"/>
        </w:rPr>
        <w:t> </w:t>
      </w:r>
      <w:r>
        <w:rPr/>
        <w:t>Tay,</w:t>
      </w:r>
      <w:r>
        <w:rPr>
          <w:spacing w:val="-5"/>
        </w:rPr>
        <w:t> </w:t>
      </w:r>
      <w:r>
        <w:rPr/>
        <w:t>Y.,</w:t>
      </w:r>
      <w:r>
        <w:rPr>
          <w:spacing w:val="-4"/>
        </w:rPr>
        <w:t> </w:t>
      </w:r>
      <w:r>
        <w:rPr/>
        <w:t>Kats,</w:t>
      </w:r>
      <w:r>
        <w:rPr>
          <w:spacing w:val="-5"/>
        </w:rPr>
        <w:t> </w:t>
      </w:r>
      <w:r>
        <w:rPr/>
        <w:t>L.,</w:t>
      </w:r>
      <w:r>
        <w:rPr>
          <w:spacing w:val="-4"/>
        </w:rPr>
        <w:t> </w:t>
      </w:r>
      <w:r>
        <w:rPr/>
        <w:t>&amp;</w:t>
      </w:r>
      <w:r>
        <w:rPr>
          <w:spacing w:val="-5"/>
        </w:rPr>
        <w:t> </w:t>
      </w:r>
      <w:r>
        <w:rPr/>
        <w:t>Pandolfi,</w:t>
      </w:r>
      <w:r>
        <w:rPr>
          <w:spacing w:val="-4"/>
        </w:rPr>
        <w:t> </w:t>
      </w:r>
      <w:r>
        <w:rPr/>
        <w:t>P.</w:t>
      </w:r>
      <w:r>
        <w:rPr>
          <w:spacing w:val="-4"/>
        </w:rPr>
        <w:t> </w:t>
      </w:r>
      <w:r>
        <w:rPr/>
        <w:t>P.</w:t>
      </w:r>
      <w:r>
        <w:rPr>
          <w:spacing w:val="-5"/>
        </w:rPr>
        <w:t> </w:t>
      </w:r>
      <w:r>
        <w:rPr/>
        <w:t>(2011).</w:t>
      </w:r>
      <w:r>
        <w:rPr>
          <w:spacing w:val="2"/>
        </w:rPr>
        <w:t> </w:t>
      </w:r>
      <w:r>
        <w:rPr/>
        <w:t>A</w:t>
      </w:r>
      <w:r>
        <w:rPr>
          <w:spacing w:val="-6"/>
        </w:rPr>
        <w:t> </w:t>
      </w:r>
      <w:r>
        <w:rPr/>
        <w:t>ceRNA</w:t>
      </w:r>
      <w:r>
        <w:rPr>
          <w:spacing w:val="-7"/>
        </w:rPr>
        <w:t> </w:t>
      </w:r>
      <w:r>
        <w:rPr/>
        <w:t>Hypothesis: The Rosetta Stone of a Hidden RNA Language? </w:t>
      </w:r>
      <w:r>
        <w:rPr>
          <w:i/>
        </w:rPr>
        <w:t>Cell</w:t>
      </w:r>
      <w:r>
        <w:rPr/>
        <w:t>, </w:t>
      </w:r>
      <w:r>
        <w:rPr>
          <w:i/>
        </w:rPr>
        <w:t>146</w:t>
      </w:r>
      <w:r>
        <w:rPr/>
        <w:t>(3), 353-358. https://doi.org/10.1016/j.cell.2011.07.014</w:t>
      </w:r>
    </w:p>
    <w:p>
      <w:pPr>
        <w:pStyle w:val="BodyText"/>
        <w:spacing w:line="360" w:lineRule="auto" w:before="2"/>
        <w:ind w:left="840" w:right="1336" w:hanging="721"/>
        <w:jc w:val="both"/>
      </w:pPr>
      <w:r>
        <w:rPr/>
        <w:t>Sasidharan, R., &amp; Gerstein, M. (2008). Protein fossils live on as RNA. </w:t>
      </w:r>
      <w:r>
        <w:rPr>
          <w:i/>
        </w:rPr>
        <w:t>Nature</w:t>
      </w:r>
      <w:r>
        <w:rPr/>
        <w:t>, </w:t>
      </w:r>
      <w:r>
        <w:rPr>
          <w:i/>
        </w:rPr>
        <w:t>453</w:t>
      </w:r>
      <w:r>
        <w:rPr/>
        <w:t>(7196), 729-731.</w:t>
      </w:r>
      <w:r>
        <w:rPr>
          <w:spacing w:val="3"/>
        </w:rPr>
        <w:t> </w:t>
      </w:r>
      <w:r>
        <w:rPr/>
        <w:t>https://doi.org/10.1038/453729a</w:t>
      </w:r>
    </w:p>
    <w:p>
      <w:pPr>
        <w:tabs>
          <w:tab w:pos="2965" w:val="left" w:leader="none"/>
          <w:tab w:pos="4070" w:val="left" w:leader="none"/>
          <w:tab w:pos="5795" w:val="left" w:leader="none"/>
          <w:tab w:pos="7172" w:val="left" w:leader="none"/>
        </w:tabs>
        <w:spacing w:line="362" w:lineRule="auto" w:before="0"/>
        <w:ind w:left="840" w:right="1336" w:hanging="721"/>
        <w:jc w:val="both"/>
        <w:rPr>
          <w:sz w:val="24"/>
        </w:rPr>
      </w:pPr>
      <w:r>
        <w:rPr>
          <w:sz w:val="24"/>
        </w:rPr>
        <w:t>Saxe, J. P., &amp; Lin, H. (2011). Small Noncoding RNAs in the Germline. </w:t>
      </w:r>
      <w:r>
        <w:rPr>
          <w:i/>
          <w:sz w:val="24"/>
        </w:rPr>
        <w:t>Cold Spring</w:t>
      </w:r>
      <w:r>
        <w:rPr>
          <w:i/>
          <w:spacing w:val="-24"/>
          <w:sz w:val="24"/>
        </w:rPr>
        <w:t> </w:t>
      </w:r>
      <w:r>
        <w:rPr>
          <w:i/>
          <w:sz w:val="24"/>
        </w:rPr>
        <w:t>Harbor </w:t>
      </w:r>
      <w:r>
        <w:rPr>
          <w:i/>
          <w:sz w:val="24"/>
        </w:rPr>
        <w:t>Perspectives</w:t>
        <w:tab/>
        <w:t>in</w:t>
        <w:tab/>
        <w:t>Biology</w:t>
      </w:r>
      <w:r>
        <w:rPr>
          <w:sz w:val="24"/>
        </w:rPr>
        <w:t>,</w:t>
        <w:tab/>
      </w:r>
      <w:r>
        <w:rPr>
          <w:i/>
          <w:sz w:val="24"/>
        </w:rPr>
        <w:t>3</w:t>
      </w:r>
      <w:r>
        <w:rPr>
          <w:sz w:val="24"/>
        </w:rPr>
        <w:t>(9),</w:t>
        <w:tab/>
      </w:r>
      <w:r>
        <w:rPr>
          <w:spacing w:val="-1"/>
          <w:sz w:val="24"/>
        </w:rPr>
        <w:t>a002717-a002717. </w:t>
      </w:r>
      <w:r>
        <w:rPr>
          <w:sz w:val="24"/>
        </w:rPr>
        <w:t>https://doi.org/10.1101/cshperspect.a002717</w:t>
      </w:r>
    </w:p>
    <w:p>
      <w:pPr>
        <w:pStyle w:val="BodyText"/>
        <w:spacing w:line="360" w:lineRule="auto"/>
        <w:ind w:left="840" w:right="1335" w:hanging="721"/>
        <w:jc w:val="both"/>
      </w:pPr>
      <w:r>
        <w:rPr/>
        <w:t>Shalem, O., Sanjana, </w:t>
      </w:r>
      <w:r>
        <w:rPr>
          <w:spacing w:val="-3"/>
        </w:rPr>
        <w:t>N. </w:t>
      </w:r>
      <w:r>
        <w:rPr/>
        <w:t>E., Hartenian, E., Shi, X., Scott, </w:t>
      </w:r>
      <w:r>
        <w:rPr>
          <w:spacing w:val="-3"/>
        </w:rPr>
        <w:t>D. </w:t>
      </w:r>
      <w:r>
        <w:rPr/>
        <w:t>A., Mikkelsen, T. S., Heckl, D., Ebert,</w:t>
      </w:r>
      <w:r>
        <w:rPr>
          <w:spacing w:val="-12"/>
        </w:rPr>
        <w:t> </w:t>
      </w:r>
      <w:r>
        <w:rPr/>
        <w:t>B.</w:t>
      </w:r>
      <w:r>
        <w:rPr>
          <w:spacing w:val="-12"/>
        </w:rPr>
        <w:t> </w:t>
      </w:r>
      <w:r>
        <w:rPr/>
        <w:t>L.,</w:t>
      </w:r>
      <w:r>
        <w:rPr>
          <w:spacing w:val="-12"/>
        </w:rPr>
        <w:t> </w:t>
      </w:r>
      <w:r>
        <w:rPr/>
        <w:t>Root,</w:t>
      </w:r>
      <w:r>
        <w:rPr>
          <w:spacing w:val="-12"/>
        </w:rPr>
        <w:t> </w:t>
      </w:r>
      <w:r>
        <w:rPr/>
        <w:t>D.</w:t>
      </w:r>
      <w:r>
        <w:rPr>
          <w:spacing w:val="-13"/>
        </w:rPr>
        <w:t> </w:t>
      </w:r>
      <w:r>
        <w:rPr/>
        <w:t>E.,</w:t>
      </w:r>
      <w:r>
        <w:rPr>
          <w:spacing w:val="-12"/>
        </w:rPr>
        <w:t> </w:t>
      </w:r>
      <w:r>
        <w:rPr/>
        <w:t>Doench,</w:t>
      </w:r>
      <w:r>
        <w:rPr>
          <w:spacing w:val="-9"/>
        </w:rPr>
        <w:t> </w:t>
      </w:r>
      <w:r>
        <w:rPr/>
        <w:t>J.</w:t>
      </w:r>
      <w:r>
        <w:rPr>
          <w:spacing w:val="-12"/>
        </w:rPr>
        <w:t> </w:t>
      </w:r>
      <w:r>
        <w:rPr/>
        <w:t>G.,</w:t>
      </w:r>
      <w:r>
        <w:rPr>
          <w:spacing w:val="-12"/>
        </w:rPr>
        <w:t> </w:t>
      </w:r>
      <w:r>
        <w:rPr/>
        <w:t>&amp;</w:t>
      </w:r>
      <w:r>
        <w:rPr>
          <w:spacing w:val="-13"/>
        </w:rPr>
        <w:t> </w:t>
      </w:r>
      <w:r>
        <w:rPr/>
        <w:t>Zhang,</w:t>
      </w:r>
      <w:r>
        <w:rPr>
          <w:spacing w:val="-12"/>
        </w:rPr>
        <w:t> </w:t>
      </w:r>
      <w:r>
        <w:rPr/>
        <w:t>F.</w:t>
      </w:r>
      <w:r>
        <w:rPr>
          <w:spacing w:val="-9"/>
        </w:rPr>
        <w:t> </w:t>
      </w:r>
      <w:r>
        <w:rPr/>
        <w:t>(2014).</w:t>
      </w:r>
      <w:r>
        <w:rPr>
          <w:spacing w:val="-12"/>
        </w:rPr>
        <w:t> </w:t>
      </w:r>
      <w:r>
        <w:rPr/>
        <w:t>Genome-Scale</w:t>
      </w:r>
      <w:r>
        <w:rPr>
          <w:spacing w:val="-10"/>
        </w:rPr>
        <w:t> </w:t>
      </w:r>
      <w:r>
        <w:rPr/>
        <w:t>CRISPR- Cas9 Knockout Screening in Human Cells. </w:t>
      </w:r>
      <w:r>
        <w:rPr>
          <w:i/>
        </w:rPr>
        <w:t>Science</w:t>
      </w:r>
      <w:r>
        <w:rPr/>
        <w:t>, </w:t>
      </w:r>
      <w:r>
        <w:rPr>
          <w:i/>
        </w:rPr>
        <w:t>343</w:t>
      </w:r>
      <w:r>
        <w:rPr/>
        <w:t>(6166), 84-87. https://doi.org/10.1126/science.1247005</w:t>
      </w:r>
    </w:p>
    <w:p>
      <w:pPr>
        <w:spacing w:line="360" w:lineRule="auto" w:before="0"/>
        <w:ind w:left="840" w:right="1339" w:hanging="721"/>
        <w:jc w:val="both"/>
        <w:rPr>
          <w:sz w:val="24"/>
        </w:rPr>
      </w:pPr>
      <w:r>
        <w:rPr>
          <w:sz w:val="24"/>
        </w:rPr>
        <w:t>Smith, D. (2016). </w:t>
      </w:r>
      <w:r>
        <w:rPr>
          <w:i/>
          <w:sz w:val="24"/>
        </w:rPr>
        <w:t>Regulación de la expresión del gen Rnf19a y su pseudogen Rnf19aTPPg3 </w:t>
      </w:r>
      <w:r>
        <w:rPr>
          <w:i/>
          <w:sz w:val="24"/>
        </w:rPr>
        <w:t>por microRNAs en líneas celulares somáticas y espermatogénicas de murino. </w:t>
      </w:r>
      <w:r>
        <w:rPr>
          <w:sz w:val="24"/>
        </w:rPr>
        <w:t>Universidad de Valparaiso.</w:t>
      </w:r>
    </w:p>
    <w:p>
      <w:pPr>
        <w:pStyle w:val="BodyText"/>
        <w:spacing w:line="360" w:lineRule="auto"/>
        <w:ind w:left="840" w:right="1346" w:hanging="721"/>
        <w:jc w:val="both"/>
      </w:pPr>
      <w:r>
        <w:rPr/>
        <w:t>Song,</w:t>
      </w:r>
      <w:r>
        <w:rPr>
          <w:spacing w:val="-9"/>
        </w:rPr>
        <w:t> </w:t>
      </w:r>
      <w:r>
        <w:rPr/>
        <w:t>Y.,</w:t>
      </w:r>
      <w:r>
        <w:rPr>
          <w:spacing w:val="-9"/>
        </w:rPr>
        <w:t> </w:t>
      </w:r>
      <w:r>
        <w:rPr/>
        <w:t>Lai,</w:t>
      </w:r>
      <w:r>
        <w:rPr>
          <w:spacing w:val="-8"/>
        </w:rPr>
        <w:t> </w:t>
      </w:r>
      <w:r>
        <w:rPr/>
        <w:t>L.,</w:t>
      </w:r>
      <w:r>
        <w:rPr>
          <w:spacing w:val="-9"/>
        </w:rPr>
        <w:t> </w:t>
      </w:r>
      <w:r>
        <w:rPr/>
        <w:t>&amp;</w:t>
      </w:r>
      <w:r>
        <w:rPr>
          <w:spacing w:val="-10"/>
        </w:rPr>
        <w:t> </w:t>
      </w:r>
      <w:r>
        <w:rPr/>
        <w:t>Li,</w:t>
      </w:r>
      <w:r>
        <w:rPr>
          <w:spacing w:val="-12"/>
        </w:rPr>
        <w:t> </w:t>
      </w:r>
      <w:r>
        <w:rPr/>
        <w:t>Z.</w:t>
      </w:r>
      <w:r>
        <w:rPr>
          <w:spacing w:val="-13"/>
        </w:rPr>
        <w:t> </w:t>
      </w:r>
      <w:r>
        <w:rPr/>
        <w:t>(2017).</w:t>
      </w:r>
      <w:r>
        <w:rPr>
          <w:spacing w:val="-9"/>
        </w:rPr>
        <w:t> </w:t>
      </w:r>
      <w:r>
        <w:rPr/>
        <w:t>Large-scale</w:t>
      </w:r>
      <w:r>
        <w:rPr>
          <w:spacing w:val="-11"/>
        </w:rPr>
        <w:t> </w:t>
      </w:r>
      <w:r>
        <w:rPr/>
        <w:t>genomic</w:t>
      </w:r>
      <w:r>
        <w:rPr>
          <w:spacing w:val="-11"/>
        </w:rPr>
        <w:t> </w:t>
      </w:r>
      <w:r>
        <w:rPr/>
        <w:t>deletions</w:t>
      </w:r>
      <w:r>
        <w:rPr>
          <w:spacing w:val="-12"/>
        </w:rPr>
        <w:t> </w:t>
      </w:r>
      <w:r>
        <w:rPr/>
        <w:t>mediated</w:t>
      </w:r>
      <w:r>
        <w:rPr>
          <w:spacing w:val="-11"/>
        </w:rPr>
        <w:t> </w:t>
      </w:r>
      <w:r>
        <w:rPr/>
        <w:t>by</w:t>
      </w:r>
      <w:r>
        <w:rPr>
          <w:spacing w:val="-10"/>
        </w:rPr>
        <w:t> </w:t>
      </w:r>
      <w:r>
        <w:rPr/>
        <w:t>CRISPR/Cas9 system. </w:t>
      </w:r>
      <w:r>
        <w:rPr>
          <w:i/>
        </w:rPr>
        <w:t>Oncotarget</w:t>
      </w:r>
      <w:r>
        <w:rPr/>
        <w:t>, </w:t>
      </w:r>
      <w:r>
        <w:rPr>
          <w:i/>
        </w:rPr>
        <w:t>8</w:t>
      </w:r>
      <w:r>
        <w:rPr/>
        <w:t>(4), 5647-5647.</w:t>
      </w:r>
      <w:r>
        <w:rPr>
          <w:spacing w:val="2"/>
        </w:rPr>
        <w:t> </w:t>
      </w:r>
      <w:r>
        <w:rPr/>
        <w:t>https://doi.org/10.18632/oncotarget.14543</w:t>
      </w:r>
    </w:p>
    <w:p>
      <w:pPr>
        <w:spacing w:line="362" w:lineRule="auto" w:before="0"/>
        <w:ind w:left="840" w:right="2202" w:hanging="721"/>
        <w:jc w:val="left"/>
        <w:rPr>
          <w:sz w:val="24"/>
        </w:rPr>
      </w:pPr>
      <w:r>
        <w:rPr>
          <w:sz w:val="24"/>
        </w:rPr>
        <w:t>Tutar, Y. (2012). Pseudogenes. </w:t>
      </w:r>
      <w:r>
        <w:rPr>
          <w:i/>
          <w:sz w:val="24"/>
        </w:rPr>
        <w:t>Comparative and Functional Genomics</w:t>
      </w:r>
      <w:r>
        <w:rPr>
          <w:sz w:val="24"/>
        </w:rPr>
        <w:t>, </w:t>
      </w:r>
      <w:r>
        <w:rPr>
          <w:i/>
          <w:sz w:val="24"/>
        </w:rPr>
        <w:t>2012</w:t>
      </w:r>
      <w:r>
        <w:rPr>
          <w:sz w:val="24"/>
        </w:rPr>
        <w:t>, 1-4. https://doi.org/10.1155/2012/424526</w:t>
      </w:r>
    </w:p>
    <w:p>
      <w:pPr>
        <w:pStyle w:val="BodyText"/>
        <w:spacing w:line="360" w:lineRule="auto"/>
        <w:ind w:left="840" w:right="1454" w:hanging="659"/>
      </w:pPr>
      <w:r>
        <w:rPr/>
        <w:t>Vitiello, M., Evangelista, M., Zhang, Y., Salmena, L., Pandolfi, P. P., &amp; Poliseno, L. (2020). PTENP1 is a ceRNA for PTEN: It’s CRISPR clear. </w:t>
      </w:r>
      <w:r>
        <w:rPr>
          <w:i/>
        </w:rPr>
        <w:t>Journal of Hematology </w:t>
      </w:r>
      <w:r>
        <w:rPr>
          <w:i/>
        </w:rPr>
        <w:t>&amp; Oncology</w:t>
      </w:r>
      <w:r>
        <w:rPr/>
        <w:t>, </w:t>
      </w:r>
      <w:r>
        <w:rPr>
          <w:i/>
        </w:rPr>
        <w:t>13</w:t>
      </w:r>
      <w:r>
        <w:rPr/>
        <w:t>(1), 73. https://doi.org/10.1186/s13045-020-00894-2</w:t>
      </w:r>
    </w:p>
    <w:p>
      <w:pPr>
        <w:pStyle w:val="BodyText"/>
        <w:spacing w:line="360" w:lineRule="auto"/>
        <w:ind w:left="840" w:right="1402" w:hanging="721"/>
      </w:pPr>
      <w:r>
        <w:rPr/>
        <w:t>Zhang, Y., Ai, H., Fan, X., Chen, S., Wang, Y., &amp; Liu, L. (2020). Knockdown of long non- coding RNA HOTAIR reverses cisplatin resistance of ovarian cancer cells through inhibiting miR-138-5p-regulated EZH2 and SIRT1. </w:t>
      </w:r>
      <w:r>
        <w:rPr>
          <w:i/>
        </w:rPr>
        <w:t>Biological Research</w:t>
      </w:r>
      <w:r>
        <w:rPr/>
        <w:t>, </w:t>
      </w:r>
      <w:r>
        <w:rPr>
          <w:i/>
        </w:rPr>
        <w:t>53</w:t>
      </w:r>
      <w:r>
        <w:rPr/>
        <w:t>(1), 18. https://doi.org/10.1186/s40659-020-00286-3</w:t>
      </w:r>
    </w:p>
    <w:p>
      <w:pPr>
        <w:pStyle w:val="BodyText"/>
        <w:spacing w:line="360" w:lineRule="auto"/>
        <w:ind w:left="840" w:right="1942" w:hanging="721"/>
      </w:pPr>
      <w:r>
        <w:rPr/>
        <w:t>Zhou, X., Chen, J., &amp; Tang, W. (2014). The molecular mechanism of HOTAIR in tumorigenesis, metastasis, and drug resistance. </w:t>
      </w:r>
      <w:r>
        <w:rPr>
          <w:i/>
        </w:rPr>
        <w:t>Acta Biochimica et Biophysica </w:t>
      </w:r>
      <w:r>
        <w:rPr>
          <w:i/>
        </w:rPr>
        <w:t>Sinica</w:t>
      </w:r>
      <w:r>
        <w:rPr/>
        <w:t>, </w:t>
      </w:r>
      <w:r>
        <w:rPr>
          <w:i/>
        </w:rPr>
        <w:t>46</w:t>
      </w:r>
      <w:r>
        <w:rPr/>
        <w:t>(12), 1011-1015. https://doi.org/10.1093/abbs/gmu104</w:t>
      </w:r>
    </w:p>
    <w:sectPr>
      <w:pgSz w:w="12240" w:h="15840"/>
      <w:pgMar w:header="7" w:footer="0" w:top="1040" w:bottom="280" w:left="158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48.539978pt;margin-top:-.674219pt;width:8.9pt;height:14.35pt;mso-position-horizontal-relative:page;mso-position-vertical-relative:page;z-index:-252531712" type="#_x0000_t202" filled="false" stroked="false">
          <v:textbox inset="0,0,0,0">
            <w:txbxContent>
              <w:p>
                <w:pPr>
                  <w:spacing w:before="13"/>
                  <w:ind w:left="40" w:right="0" w:firstLine="0"/>
                  <w:jc w:val="left"/>
                  <w:rPr>
                    <w:rFonts w:ascii="Arial"/>
                    <w:sz w:val="22"/>
                  </w:rPr>
                </w:pPr>
                <w:r>
                  <w:rPr/>
                  <w:fldChar w:fldCharType="begin"/>
                </w:r>
                <w:r>
                  <w:rPr>
                    <w:rFonts w:ascii="Arial"/>
                    <w:sz w:val="22"/>
                  </w:rPr>
                  <w:instrText> PAGE  \* roman </w:instrText>
                </w:r>
                <w:r>
                  <w:rPr/>
                  <w:fldChar w:fldCharType="separate"/>
                </w:r>
                <w:r>
                  <w:rPr/>
                  <w:t>ii</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5.390015pt;margin-top:-.674219pt;width:11.9pt;height:14.35pt;mso-position-horizontal-relative:page;mso-position-vertical-relative:page;z-index:-252530688" type="#_x0000_t202" filled="false" stroked="false">
          <v:textbox inset="0,0,0,0">
            <w:txbxContent>
              <w:p>
                <w:pPr>
                  <w:spacing w:before="13"/>
                  <w:ind w:left="40" w:right="0" w:firstLine="0"/>
                  <w:jc w:val="left"/>
                  <w:rPr>
                    <w:rFonts w:ascii="Arial"/>
                    <w:sz w:val="22"/>
                  </w:rPr>
                </w:pPr>
                <w:r>
                  <w:rPr/>
                  <w:fldChar w:fldCharType="begin"/>
                </w:r>
                <w:r>
                  <w:rPr>
                    <w:rFonts w:ascii="Arial"/>
                    <w:sz w:val="22"/>
                  </w:rPr>
                  <w:instrText> PAGE  \* roman </w:instrText>
                </w:r>
                <w:r>
                  <w:rPr/>
                  <w:fldChar w:fldCharType="separate"/>
                </w:r>
                <w:r>
                  <w:rPr/>
                  <w:t>iv</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070007pt;margin-top:-.674219pt;width:16.5pt;height:14.35pt;mso-position-horizontal-relative:page;mso-position-vertical-relative:page;z-index:-252529664" type="#_x0000_t202" filled="false" stroked="false">
          <v:textbox inset="0,0,0,0">
            <w:txbxContent>
              <w:p>
                <w:pPr>
                  <w:spacing w:before="13"/>
                  <w:ind w:left="40" w:right="0" w:firstLine="0"/>
                  <w:jc w:val="left"/>
                  <w:rPr>
                    <w:rFonts w:ascii="Arial"/>
                    <w:sz w:val="22"/>
                  </w:rPr>
                </w:pPr>
                <w:r>
                  <w:rPr/>
                  <w:fldChar w:fldCharType="begin"/>
                </w:r>
                <w:r>
                  <w:rPr>
                    <w:rFonts w:ascii="Arial"/>
                    <w:sz w:val="22"/>
                  </w:rPr>
                  <w:instrText> PAGE </w:instrText>
                </w:r>
                <w:r>
                  <w:rPr/>
                  <w:fldChar w:fldCharType="separate"/>
                </w:r>
                <w:r>
                  <w:rPr/>
                  <w:t>10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4"/>
      <w:numFmt w:val="decimal"/>
      <w:lvlText w:val="%1"/>
      <w:lvlJc w:val="left"/>
      <w:pPr>
        <w:ind w:left="484" w:hanging="365"/>
        <w:jc w:val="left"/>
      </w:pPr>
      <w:rPr>
        <w:rFonts w:hint="default"/>
        <w:lang w:val="es-ES" w:eastAsia="es-ES" w:bidi="es-ES"/>
      </w:rPr>
    </w:lvl>
    <w:lvl w:ilvl="1">
      <w:start w:val="1"/>
      <w:numFmt w:val="decimal"/>
      <w:lvlText w:val="%1.%2"/>
      <w:lvlJc w:val="left"/>
      <w:pPr>
        <w:ind w:left="484" w:hanging="365"/>
        <w:jc w:val="left"/>
      </w:pPr>
      <w:rPr>
        <w:rFonts w:hint="default" w:ascii="Times New Roman" w:hAnsi="Times New Roman" w:eastAsia="Times New Roman" w:cs="Times New Roman"/>
        <w:b/>
        <w:bCs/>
        <w:w w:val="100"/>
        <w:sz w:val="24"/>
        <w:szCs w:val="24"/>
        <w:lang w:val="es-ES" w:eastAsia="es-ES" w:bidi="es-ES"/>
      </w:rPr>
    </w:lvl>
    <w:lvl w:ilvl="2">
      <w:start w:val="0"/>
      <w:numFmt w:val="bullet"/>
      <w:lvlText w:val="•"/>
      <w:lvlJc w:val="left"/>
      <w:pPr>
        <w:ind w:left="2444" w:hanging="365"/>
      </w:pPr>
      <w:rPr>
        <w:rFonts w:hint="default"/>
        <w:lang w:val="es-ES" w:eastAsia="es-ES" w:bidi="es-ES"/>
      </w:rPr>
    </w:lvl>
    <w:lvl w:ilvl="3">
      <w:start w:val="0"/>
      <w:numFmt w:val="bullet"/>
      <w:lvlText w:val="•"/>
      <w:lvlJc w:val="left"/>
      <w:pPr>
        <w:ind w:left="3426" w:hanging="365"/>
      </w:pPr>
      <w:rPr>
        <w:rFonts w:hint="default"/>
        <w:lang w:val="es-ES" w:eastAsia="es-ES" w:bidi="es-ES"/>
      </w:rPr>
    </w:lvl>
    <w:lvl w:ilvl="4">
      <w:start w:val="0"/>
      <w:numFmt w:val="bullet"/>
      <w:lvlText w:val="•"/>
      <w:lvlJc w:val="left"/>
      <w:pPr>
        <w:ind w:left="4408" w:hanging="365"/>
      </w:pPr>
      <w:rPr>
        <w:rFonts w:hint="default"/>
        <w:lang w:val="es-ES" w:eastAsia="es-ES" w:bidi="es-ES"/>
      </w:rPr>
    </w:lvl>
    <w:lvl w:ilvl="5">
      <w:start w:val="0"/>
      <w:numFmt w:val="bullet"/>
      <w:lvlText w:val="•"/>
      <w:lvlJc w:val="left"/>
      <w:pPr>
        <w:ind w:left="5390" w:hanging="365"/>
      </w:pPr>
      <w:rPr>
        <w:rFonts w:hint="default"/>
        <w:lang w:val="es-ES" w:eastAsia="es-ES" w:bidi="es-ES"/>
      </w:rPr>
    </w:lvl>
    <w:lvl w:ilvl="6">
      <w:start w:val="0"/>
      <w:numFmt w:val="bullet"/>
      <w:lvlText w:val="•"/>
      <w:lvlJc w:val="left"/>
      <w:pPr>
        <w:ind w:left="6372" w:hanging="365"/>
      </w:pPr>
      <w:rPr>
        <w:rFonts w:hint="default"/>
        <w:lang w:val="es-ES" w:eastAsia="es-ES" w:bidi="es-ES"/>
      </w:rPr>
    </w:lvl>
    <w:lvl w:ilvl="7">
      <w:start w:val="0"/>
      <w:numFmt w:val="bullet"/>
      <w:lvlText w:val="•"/>
      <w:lvlJc w:val="left"/>
      <w:pPr>
        <w:ind w:left="7354" w:hanging="365"/>
      </w:pPr>
      <w:rPr>
        <w:rFonts w:hint="default"/>
        <w:lang w:val="es-ES" w:eastAsia="es-ES" w:bidi="es-ES"/>
      </w:rPr>
    </w:lvl>
    <w:lvl w:ilvl="8">
      <w:start w:val="0"/>
      <w:numFmt w:val="bullet"/>
      <w:lvlText w:val="•"/>
      <w:lvlJc w:val="left"/>
      <w:pPr>
        <w:ind w:left="8336" w:hanging="365"/>
      </w:pPr>
      <w:rPr>
        <w:rFonts w:hint="default"/>
        <w:lang w:val="es-ES" w:eastAsia="es-ES" w:bidi="es-ES"/>
      </w:rPr>
    </w:lvl>
  </w:abstractNum>
  <w:abstractNum w:abstractNumId="5">
    <w:multiLevelType w:val="hybridMultilevel"/>
    <w:lvl w:ilvl="0">
      <w:start w:val="0"/>
      <w:numFmt w:val="bullet"/>
      <w:lvlText w:val="-"/>
      <w:lvlJc w:val="left"/>
      <w:pPr>
        <w:ind w:left="119" w:hanging="140"/>
      </w:pPr>
      <w:rPr>
        <w:rFonts w:hint="default" w:ascii="Times New Roman" w:hAnsi="Times New Roman" w:eastAsia="Times New Roman" w:cs="Times New Roman"/>
        <w:w w:val="99"/>
        <w:sz w:val="24"/>
        <w:szCs w:val="24"/>
        <w:lang w:val="es-ES" w:eastAsia="es-ES" w:bidi="es-ES"/>
      </w:rPr>
    </w:lvl>
    <w:lvl w:ilvl="1">
      <w:start w:val="0"/>
      <w:numFmt w:val="bullet"/>
      <w:lvlText w:val="•"/>
      <w:lvlJc w:val="left"/>
      <w:pPr>
        <w:ind w:left="1138" w:hanging="140"/>
      </w:pPr>
      <w:rPr>
        <w:rFonts w:hint="default"/>
        <w:lang w:val="es-ES" w:eastAsia="es-ES" w:bidi="es-ES"/>
      </w:rPr>
    </w:lvl>
    <w:lvl w:ilvl="2">
      <w:start w:val="0"/>
      <w:numFmt w:val="bullet"/>
      <w:lvlText w:val="•"/>
      <w:lvlJc w:val="left"/>
      <w:pPr>
        <w:ind w:left="2156" w:hanging="140"/>
      </w:pPr>
      <w:rPr>
        <w:rFonts w:hint="default"/>
        <w:lang w:val="es-ES" w:eastAsia="es-ES" w:bidi="es-ES"/>
      </w:rPr>
    </w:lvl>
    <w:lvl w:ilvl="3">
      <w:start w:val="0"/>
      <w:numFmt w:val="bullet"/>
      <w:lvlText w:val="•"/>
      <w:lvlJc w:val="left"/>
      <w:pPr>
        <w:ind w:left="3174" w:hanging="140"/>
      </w:pPr>
      <w:rPr>
        <w:rFonts w:hint="default"/>
        <w:lang w:val="es-ES" w:eastAsia="es-ES" w:bidi="es-ES"/>
      </w:rPr>
    </w:lvl>
    <w:lvl w:ilvl="4">
      <w:start w:val="0"/>
      <w:numFmt w:val="bullet"/>
      <w:lvlText w:val="•"/>
      <w:lvlJc w:val="left"/>
      <w:pPr>
        <w:ind w:left="4192" w:hanging="140"/>
      </w:pPr>
      <w:rPr>
        <w:rFonts w:hint="default"/>
        <w:lang w:val="es-ES" w:eastAsia="es-ES" w:bidi="es-ES"/>
      </w:rPr>
    </w:lvl>
    <w:lvl w:ilvl="5">
      <w:start w:val="0"/>
      <w:numFmt w:val="bullet"/>
      <w:lvlText w:val="•"/>
      <w:lvlJc w:val="left"/>
      <w:pPr>
        <w:ind w:left="5210" w:hanging="140"/>
      </w:pPr>
      <w:rPr>
        <w:rFonts w:hint="default"/>
        <w:lang w:val="es-ES" w:eastAsia="es-ES" w:bidi="es-ES"/>
      </w:rPr>
    </w:lvl>
    <w:lvl w:ilvl="6">
      <w:start w:val="0"/>
      <w:numFmt w:val="bullet"/>
      <w:lvlText w:val="•"/>
      <w:lvlJc w:val="left"/>
      <w:pPr>
        <w:ind w:left="6228" w:hanging="140"/>
      </w:pPr>
      <w:rPr>
        <w:rFonts w:hint="default"/>
        <w:lang w:val="es-ES" w:eastAsia="es-ES" w:bidi="es-ES"/>
      </w:rPr>
    </w:lvl>
    <w:lvl w:ilvl="7">
      <w:start w:val="0"/>
      <w:numFmt w:val="bullet"/>
      <w:lvlText w:val="•"/>
      <w:lvlJc w:val="left"/>
      <w:pPr>
        <w:ind w:left="7246" w:hanging="140"/>
      </w:pPr>
      <w:rPr>
        <w:rFonts w:hint="default"/>
        <w:lang w:val="es-ES" w:eastAsia="es-ES" w:bidi="es-ES"/>
      </w:rPr>
    </w:lvl>
    <w:lvl w:ilvl="8">
      <w:start w:val="0"/>
      <w:numFmt w:val="bullet"/>
      <w:lvlText w:val="•"/>
      <w:lvlJc w:val="left"/>
      <w:pPr>
        <w:ind w:left="8264" w:hanging="140"/>
      </w:pPr>
      <w:rPr>
        <w:rFonts w:hint="default"/>
        <w:lang w:val="es-ES" w:eastAsia="es-ES" w:bidi="es-ES"/>
      </w:rPr>
    </w:lvl>
  </w:abstractNum>
  <w:abstractNum w:abstractNumId="4">
    <w:multiLevelType w:val="hybridMultilevel"/>
    <w:lvl w:ilvl="0">
      <w:start w:val="3"/>
      <w:numFmt w:val="decimal"/>
      <w:lvlText w:val="%1"/>
      <w:lvlJc w:val="left"/>
      <w:pPr>
        <w:ind w:left="661" w:hanging="542"/>
        <w:jc w:val="left"/>
      </w:pPr>
      <w:rPr>
        <w:rFonts w:hint="default"/>
        <w:lang w:val="es-ES" w:eastAsia="es-ES" w:bidi="es-ES"/>
      </w:rPr>
    </w:lvl>
    <w:lvl w:ilvl="1">
      <w:start w:val="1"/>
      <w:numFmt w:val="decimal"/>
      <w:lvlText w:val="%1.%2"/>
      <w:lvlJc w:val="left"/>
      <w:pPr>
        <w:ind w:left="661" w:hanging="542"/>
        <w:jc w:val="left"/>
      </w:pPr>
      <w:rPr>
        <w:rFonts w:hint="default"/>
        <w:lang w:val="es-ES" w:eastAsia="es-ES" w:bidi="es-ES"/>
      </w:rPr>
    </w:lvl>
    <w:lvl w:ilvl="2">
      <w:start w:val="1"/>
      <w:numFmt w:val="decimal"/>
      <w:lvlText w:val="%1.%2.%3"/>
      <w:lvlJc w:val="left"/>
      <w:pPr>
        <w:ind w:left="661" w:hanging="542"/>
        <w:jc w:val="right"/>
      </w:pPr>
      <w:rPr>
        <w:rFonts w:hint="default" w:ascii="Times New Roman" w:hAnsi="Times New Roman" w:eastAsia="Times New Roman" w:cs="Times New Roman"/>
        <w:b/>
        <w:bCs/>
        <w:w w:val="100"/>
        <w:sz w:val="24"/>
        <w:szCs w:val="24"/>
        <w:lang w:val="es-ES" w:eastAsia="es-ES" w:bidi="es-ES"/>
      </w:rPr>
    </w:lvl>
    <w:lvl w:ilvl="3">
      <w:start w:val="1"/>
      <w:numFmt w:val="decimal"/>
      <w:lvlText w:val="%1.%2.%3.%4"/>
      <w:lvlJc w:val="left"/>
      <w:pPr>
        <w:ind w:left="845" w:hanging="726"/>
        <w:jc w:val="left"/>
      </w:pPr>
      <w:rPr>
        <w:rFonts w:hint="default" w:ascii="Times New Roman" w:hAnsi="Times New Roman" w:eastAsia="Times New Roman" w:cs="Times New Roman"/>
        <w:b/>
        <w:bCs/>
        <w:spacing w:val="-5"/>
        <w:w w:val="100"/>
        <w:sz w:val="24"/>
        <w:szCs w:val="24"/>
        <w:lang w:val="es-ES" w:eastAsia="es-ES" w:bidi="es-ES"/>
      </w:rPr>
    </w:lvl>
    <w:lvl w:ilvl="4">
      <w:start w:val="0"/>
      <w:numFmt w:val="bullet"/>
      <w:lvlText w:val="•"/>
      <w:lvlJc w:val="left"/>
      <w:pPr>
        <w:ind w:left="3993" w:hanging="726"/>
      </w:pPr>
      <w:rPr>
        <w:rFonts w:hint="default"/>
        <w:lang w:val="es-ES" w:eastAsia="es-ES" w:bidi="es-ES"/>
      </w:rPr>
    </w:lvl>
    <w:lvl w:ilvl="5">
      <w:start w:val="0"/>
      <w:numFmt w:val="bullet"/>
      <w:lvlText w:val="•"/>
      <w:lvlJc w:val="left"/>
      <w:pPr>
        <w:ind w:left="5044" w:hanging="726"/>
      </w:pPr>
      <w:rPr>
        <w:rFonts w:hint="default"/>
        <w:lang w:val="es-ES" w:eastAsia="es-ES" w:bidi="es-ES"/>
      </w:rPr>
    </w:lvl>
    <w:lvl w:ilvl="6">
      <w:start w:val="0"/>
      <w:numFmt w:val="bullet"/>
      <w:lvlText w:val="•"/>
      <w:lvlJc w:val="left"/>
      <w:pPr>
        <w:ind w:left="6095" w:hanging="726"/>
      </w:pPr>
      <w:rPr>
        <w:rFonts w:hint="default"/>
        <w:lang w:val="es-ES" w:eastAsia="es-ES" w:bidi="es-ES"/>
      </w:rPr>
    </w:lvl>
    <w:lvl w:ilvl="7">
      <w:start w:val="0"/>
      <w:numFmt w:val="bullet"/>
      <w:lvlText w:val="•"/>
      <w:lvlJc w:val="left"/>
      <w:pPr>
        <w:ind w:left="7146" w:hanging="726"/>
      </w:pPr>
      <w:rPr>
        <w:rFonts w:hint="default"/>
        <w:lang w:val="es-ES" w:eastAsia="es-ES" w:bidi="es-ES"/>
      </w:rPr>
    </w:lvl>
    <w:lvl w:ilvl="8">
      <w:start w:val="0"/>
      <w:numFmt w:val="bullet"/>
      <w:lvlText w:val="•"/>
      <w:lvlJc w:val="left"/>
      <w:pPr>
        <w:ind w:left="8197" w:hanging="726"/>
      </w:pPr>
      <w:rPr>
        <w:rFonts w:hint="default"/>
        <w:lang w:val="es-ES" w:eastAsia="es-ES" w:bidi="es-ES"/>
      </w:rPr>
    </w:lvl>
  </w:abstractNum>
  <w:abstractNum w:abstractNumId="3">
    <w:multiLevelType w:val="hybridMultilevel"/>
    <w:lvl w:ilvl="0">
      <w:start w:val="1"/>
      <w:numFmt w:val="decimal"/>
      <w:lvlText w:val="%1"/>
      <w:lvlJc w:val="left"/>
      <w:pPr>
        <w:ind w:left="541" w:hanging="423"/>
        <w:jc w:val="left"/>
      </w:pPr>
      <w:rPr>
        <w:rFonts w:hint="default"/>
        <w:lang w:val="es-ES" w:eastAsia="es-ES" w:bidi="es-ES"/>
      </w:rPr>
    </w:lvl>
    <w:lvl w:ilvl="1">
      <w:start w:val="1"/>
      <w:numFmt w:val="decimal"/>
      <w:lvlText w:val="%1.%2"/>
      <w:lvlJc w:val="left"/>
      <w:pPr>
        <w:ind w:left="541" w:hanging="423"/>
        <w:jc w:val="left"/>
      </w:pPr>
      <w:rPr>
        <w:rFonts w:hint="default" w:ascii="Times New Roman" w:hAnsi="Times New Roman" w:eastAsia="Times New Roman" w:cs="Times New Roman"/>
        <w:b/>
        <w:bCs/>
        <w:w w:val="99"/>
        <w:sz w:val="28"/>
        <w:szCs w:val="28"/>
        <w:lang w:val="es-ES" w:eastAsia="es-ES" w:bidi="es-ES"/>
      </w:rPr>
    </w:lvl>
    <w:lvl w:ilvl="2">
      <w:start w:val="1"/>
      <w:numFmt w:val="decimal"/>
      <w:lvlText w:val="%1.%2.%3"/>
      <w:lvlJc w:val="left"/>
      <w:pPr>
        <w:ind w:left="661" w:hanging="542"/>
        <w:jc w:val="left"/>
      </w:pPr>
      <w:rPr>
        <w:rFonts w:hint="default" w:ascii="Times New Roman" w:hAnsi="Times New Roman" w:eastAsia="Times New Roman" w:cs="Times New Roman"/>
        <w:b/>
        <w:bCs/>
        <w:w w:val="100"/>
        <w:sz w:val="24"/>
        <w:szCs w:val="24"/>
        <w:lang w:val="es-ES" w:eastAsia="es-ES" w:bidi="es-ES"/>
      </w:rPr>
    </w:lvl>
    <w:lvl w:ilvl="3">
      <w:start w:val="0"/>
      <w:numFmt w:val="bullet"/>
      <w:lvlText w:val="•"/>
      <w:lvlJc w:val="left"/>
      <w:pPr>
        <w:ind w:left="2802" w:hanging="542"/>
      </w:pPr>
      <w:rPr>
        <w:rFonts w:hint="default"/>
        <w:lang w:val="es-ES" w:eastAsia="es-ES" w:bidi="es-ES"/>
      </w:rPr>
    </w:lvl>
    <w:lvl w:ilvl="4">
      <w:start w:val="0"/>
      <w:numFmt w:val="bullet"/>
      <w:lvlText w:val="•"/>
      <w:lvlJc w:val="left"/>
      <w:pPr>
        <w:ind w:left="3873" w:hanging="542"/>
      </w:pPr>
      <w:rPr>
        <w:rFonts w:hint="default"/>
        <w:lang w:val="es-ES" w:eastAsia="es-ES" w:bidi="es-ES"/>
      </w:rPr>
    </w:lvl>
    <w:lvl w:ilvl="5">
      <w:start w:val="0"/>
      <w:numFmt w:val="bullet"/>
      <w:lvlText w:val="•"/>
      <w:lvlJc w:val="left"/>
      <w:pPr>
        <w:ind w:left="4944" w:hanging="542"/>
      </w:pPr>
      <w:rPr>
        <w:rFonts w:hint="default"/>
        <w:lang w:val="es-ES" w:eastAsia="es-ES" w:bidi="es-ES"/>
      </w:rPr>
    </w:lvl>
    <w:lvl w:ilvl="6">
      <w:start w:val="0"/>
      <w:numFmt w:val="bullet"/>
      <w:lvlText w:val="•"/>
      <w:lvlJc w:val="left"/>
      <w:pPr>
        <w:ind w:left="6015" w:hanging="542"/>
      </w:pPr>
      <w:rPr>
        <w:rFonts w:hint="default"/>
        <w:lang w:val="es-ES" w:eastAsia="es-ES" w:bidi="es-ES"/>
      </w:rPr>
    </w:lvl>
    <w:lvl w:ilvl="7">
      <w:start w:val="0"/>
      <w:numFmt w:val="bullet"/>
      <w:lvlText w:val="•"/>
      <w:lvlJc w:val="left"/>
      <w:pPr>
        <w:ind w:left="7086" w:hanging="542"/>
      </w:pPr>
      <w:rPr>
        <w:rFonts w:hint="default"/>
        <w:lang w:val="es-ES" w:eastAsia="es-ES" w:bidi="es-ES"/>
      </w:rPr>
    </w:lvl>
    <w:lvl w:ilvl="8">
      <w:start w:val="0"/>
      <w:numFmt w:val="bullet"/>
      <w:lvlText w:val="•"/>
      <w:lvlJc w:val="left"/>
      <w:pPr>
        <w:ind w:left="8157" w:hanging="542"/>
      </w:pPr>
      <w:rPr>
        <w:rFonts w:hint="default"/>
        <w:lang w:val="es-ES" w:eastAsia="es-ES" w:bidi="es-ES"/>
      </w:rPr>
    </w:lvl>
  </w:abstractNum>
  <w:abstractNum w:abstractNumId="2">
    <w:multiLevelType w:val="hybridMultilevel"/>
    <w:lvl w:ilvl="0">
      <w:start w:val="4"/>
      <w:numFmt w:val="decimal"/>
      <w:lvlText w:val="%1"/>
      <w:lvlJc w:val="left"/>
      <w:pPr>
        <w:ind w:left="484" w:hanging="365"/>
        <w:jc w:val="left"/>
      </w:pPr>
      <w:rPr>
        <w:rFonts w:hint="default"/>
        <w:lang w:val="es-ES" w:eastAsia="es-ES" w:bidi="es-ES"/>
      </w:rPr>
    </w:lvl>
    <w:lvl w:ilvl="1">
      <w:start w:val="1"/>
      <w:numFmt w:val="decimal"/>
      <w:lvlText w:val="%1.%2"/>
      <w:lvlJc w:val="left"/>
      <w:pPr>
        <w:ind w:left="484" w:hanging="365"/>
        <w:jc w:val="left"/>
      </w:pPr>
      <w:rPr>
        <w:rFonts w:hint="default" w:ascii="Times New Roman" w:hAnsi="Times New Roman" w:eastAsia="Times New Roman" w:cs="Times New Roman"/>
        <w:b/>
        <w:bCs/>
        <w:w w:val="100"/>
        <w:sz w:val="24"/>
        <w:szCs w:val="24"/>
        <w:lang w:val="es-ES" w:eastAsia="es-ES" w:bidi="es-ES"/>
      </w:rPr>
    </w:lvl>
    <w:lvl w:ilvl="2">
      <w:start w:val="0"/>
      <w:numFmt w:val="bullet"/>
      <w:lvlText w:val="•"/>
      <w:lvlJc w:val="left"/>
      <w:pPr>
        <w:ind w:left="2444" w:hanging="365"/>
      </w:pPr>
      <w:rPr>
        <w:rFonts w:hint="default"/>
        <w:lang w:val="es-ES" w:eastAsia="es-ES" w:bidi="es-ES"/>
      </w:rPr>
    </w:lvl>
    <w:lvl w:ilvl="3">
      <w:start w:val="0"/>
      <w:numFmt w:val="bullet"/>
      <w:lvlText w:val="•"/>
      <w:lvlJc w:val="left"/>
      <w:pPr>
        <w:ind w:left="3426" w:hanging="365"/>
      </w:pPr>
      <w:rPr>
        <w:rFonts w:hint="default"/>
        <w:lang w:val="es-ES" w:eastAsia="es-ES" w:bidi="es-ES"/>
      </w:rPr>
    </w:lvl>
    <w:lvl w:ilvl="4">
      <w:start w:val="0"/>
      <w:numFmt w:val="bullet"/>
      <w:lvlText w:val="•"/>
      <w:lvlJc w:val="left"/>
      <w:pPr>
        <w:ind w:left="4408" w:hanging="365"/>
      </w:pPr>
      <w:rPr>
        <w:rFonts w:hint="default"/>
        <w:lang w:val="es-ES" w:eastAsia="es-ES" w:bidi="es-ES"/>
      </w:rPr>
    </w:lvl>
    <w:lvl w:ilvl="5">
      <w:start w:val="0"/>
      <w:numFmt w:val="bullet"/>
      <w:lvlText w:val="•"/>
      <w:lvlJc w:val="left"/>
      <w:pPr>
        <w:ind w:left="5390" w:hanging="365"/>
      </w:pPr>
      <w:rPr>
        <w:rFonts w:hint="default"/>
        <w:lang w:val="es-ES" w:eastAsia="es-ES" w:bidi="es-ES"/>
      </w:rPr>
    </w:lvl>
    <w:lvl w:ilvl="6">
      <w:start w:val="0"/>
      <w:numFmt w:val="bullet"/>
      <w:lvlText w:val="•"/>
      <w:lvlJc w:val="left"/>
      <w:pPr>
        <w:ind w:left="6372" w:hanging="365"/>
      </w:pPr>
      <w:rPr>
        <w:rFonts w:hint="default"/>
        <w:lang w:val="es-ES" w:eastAsia="es-ES" w:bidi="es-ES"/>
      </w:rPr>
    </w:lvl>
    <w:lvl w:ilvl="7">
      <w:start w:val="0"/>
      <w:numFmt w:val="bullet"/>
      <w:lvlText w:val="•"/>
      <w:lvlJc w:val="left"/>
      <w:pPr>
        <w:ind w:left="7354" w:hanging="365"/>
      </w:pPr>
      <w:rPr>
        <w:rFonts w:hint="default"/>
        <w:lang w:val="es-ES" w:eastAsia="es-ES" w:bidi="es-ES"/>
      </w:rPr>
    </w:lvl>
    <w:lvl w:ilvl="8">
      <w:start w:val="0"/>
      <w:numFmt w:val="bullet"/>
      <w:lvlText w:val="•"/>
      <w:lvlJc w:val="left"/>
      <w:pPr>
        <w:ind w:left="8336" w:hanging="365"/>
      </w:pPr>
      <w:rPr>
        <w:rFonts w:hint="default"/>
        <w:lang w:val="es-ES" w:eastAsia="es-ES" w:bidi="es-ES"/>
      </w:rPr>
    </w:lvl>
  </w:abstractNum>
  <w:abstractNum w:abstractNumId="1">
    <w:multiLevelType w:val="hybridMultilevel"/>
    <w:lvl w:ilvl="0">
      <w:start w:val="3"/>
      <w:numFmt w:val="decimal"/>
      <w:lvlText w:val="%1"/>
      <w:lvlJc w:val="left"/>
      <w:pPr>
        <w:ind w:left="661" w:hanging="542"/>
        <w:jc w:val="left"/>
      </w:pPr>
      <w:rPr>
        <w:rFonts w:hint="default"/>
        <w:lang w:val="es-ES" w:eastAsia="es-ES" w:bidi="es-ES"/>
      </w:rPr>
    </w:lvl>
    <w:lvl w:ilvl="1">
      <w:start w:val="1"/>
      <w:numFmt w:val="decimal"/>
      <w:lvlText w:val="%1.%2"/>
      <w:lvlJc w:val="left"/>
      <w:pPr>
        <w:ind w:left="661" w:hanging="542"/>
        <w:jc w:val="left"/>
      </w:pPr>
      <w:rPr>
        <w:rFonts w:hint="default"/>
        <w:lang w:val="es-ES" w:eastAsia="es-ES" w:bidi="es-ES"/>
      </w:rPr>
    </w:lvl>
    <w:lvl w:ilvl="2">
      <w:start w:val="1"/>
      <w:numFmt w:val="decimal"/>
      <w:lvlText w:val="%1.%2.%3"/>
      <w:lvlJc w:val="left"/>
      <w:pPr>
        <w:ind w:left="661" w:hanging="542"/>
        <w:jc w:val="left"/>
      </w:pPr>
      <w:rPr>
        <w:rFonts w:hint="default" w:ascii="Times New Roman" w:hAnsi="Times New Roman" w:eastAsia="Times New Roman" w:cs="Times New Roman"/>
        <w:b/>
        <w:bCs/>
        <w:w w:val="100"/>
        <w:sz w:val="24"/>
        <w:szCs w:val="24"/>
        <w:lang w:val="es-ES" w:eastAsia="es-ES" w:bidi="es-ES"/>
      </w:rPr>
    </w:lvl>
    <w:lvl w:ilvl="3">
      <w:start w:val="1"/>
      <w:numFmt w:val="decimal"/>
      <w:lvlText w:val="%1.%2.%3.%4"/>
      <w:lvlJc w:val="left"/>
      <w:pPr>
        <w:ind w:left="843" w:hanging="724"/>
        <w:jc w:val="left"/>
      </w:pPr>
      <w:rPr>
        <w:rFonts w:hint="default" w:ascii="Times New Roman" w:hAnsi="Times New Roman" w:eastAsia="Times New Roman" w:cs="Times New Roman"/>
        <w:b/>
        <w:bCs/>
        <w:spacing w:val="-5"/>
        <w:w w:val="100"/>
        <w:sz w:val="24"/>
        <w:szCs w:val="24"/>
        <w:lang w:val="es-ES" w:eastAsia="es-ES" w:bidi="es-ES"/>
      </w:rPr>
    </w:lvl>
    <w:lvl w:ilvl="4">
      <w:start w:val="0"/>
      <w:numFmt w:val="bullet"/>
      <w:lvlText w:val="•"/>
      <w:lvlJc w:val="left"/>
      <w:pPr>
        <w:ind w:left="3993" w:hanging="724"/>
      </w:pPr>
      <w:rPr>
        <w:rFonts w:hint="default"/>
        <w:lang w:val="es-ES" w:eastAsia="es-ES" w:bidi="es-ES"/>
      </w:rPr>
    </w:lvl>
    <w:lvl w:ilvl="5">
      <w:start w:val="0"/>
      <w:numFmt w:val="bullet"/>
      <w:lvlText w:val="•"/>
      <w:lvlJc w:val="left"/>
      <w:pPr>
        <w:ind w:left="5044" w:hanging="724"/>
      </w:pPr>
      <w:rPr>
        <w:rFonts w:hint="default"/>
        <w:lang w:val="es-ES" w:eastAsia="es-ES" w:bidi="es-ES"/>
      </w:rPr>
    </w:lvl>
    <w:lvl w:ilvl="6">
      <w:start w:val="0"/>
      <w:numFmt w:val="bullet"/>
      <w:lvlText w:val="•"/>
      <w:lvlJc w:val="left"/>
      <w:pPr>
        <w:ind w:left="6095" w:hanging="724"/>
      </w:pPr>
      <w:rPr>
        <w:rFonts w:hint="default"/>
        <w:lang w:val="es-ES" w:eastAsia="es-ES" w:bidi="es-ES"/>
      </w:rPr>
    </w:lvl>
    <w:lvl w:ilvl="7">
      <w:start w:val="0"/>
      <w:numFmt w:val="bullet"/>
      <w:lvlText w:val="•"/>
      <w:lvlJc w:val="left"/>
      <w:pPr>
        <w:ind w:left="7146" w:hanging="724"/>
      </w:pPr>
      <w:rPr>
        <w:rFonts w:hint="default"/>
        <w:lang w:val="es-ES" w:eastAsia="es-ES" w:bidi="es-ES"/>
      </w:rPr>
    </w:lvl>
    <w:lvl w:ilvl="8">
      <w:start w:val="0"/>
      <w:numFmt w:val="bullet"/>
      <w:lvlText w:val="•"/>
      <w:lvlJc w:val="left"/>
      <w:pPr>
        <w:ind w:left="8197" w:hanging="724"/>
      </w:pPr>
      <w:rPr>
        <w:rFonts w:hint="default"/>
        <w:lang w:val="es-ES" w:eastAsia="es-ES" w:bidi="es-ES"/>
      </w:rPr>
    </w:lvl>
  </w:abstractNum>
  <w:abstractNum w:abstractNumId="0">
    <w:multiLevelType w:val="hybridMultilevel"/>
    <w:lvl w:ilvl="0">
      <w:start w:val="1"/>
      <w:numFmt w:val="decimal"/>
      <w:lvlText w:val="%1"/>
      <w:lvlJc w:val="left"/>
      <w:pPr>
        <w:ind w:left="484" w:hanging="365"/>
        <w:jc w:val="left"/>
      </w:pPr>
      <w:rPr>
        <w:rFonts w:hint="default"/>
        <w:lang w:val="es-ES" w:eastAsia="es-ES" w:bidi="es-ES"/>
      </w:rPr>
    </w:lvl>
    <w:lvl w:ilvl="1">
      <w:start w:val="1"/>
      <w:numFmt w:val="decimal"/>
      <w:lvlText w:val="%1.%2"/>
      <w:lvlJc w:val="left"/>
      <w:pPr>
        <w:ind w:left="484" w:hanging="365"/>
        <w:jc w:val="left"/>
      </w:pPr>
      <w:rPr>
        <w:rFonts w:hint="default" w:ascii="Times New Roman" w:hAnsi="Times New Roman" w:eastAsia="Times New Roman" w:cs="Times New Roman"/>
        <w:b/>
        <w:bCs/>
        <w:w w:val="100"/>
        <w:sz w:val="24"/>
        <w:szCs w:val="24"/>
        <w:lang w:val="es-ES" w:eastAsia="es-ES" w:bidi="es-ES"/>
      </w:rPr>
    </w:lvl>
    <w:lvl w:ilvl="2">
      <w:start w:val="1"/>
      <w:numFmt w:val="decimal"/>
      <w:lvlText w:val="%1.%2.%3"/>
      <w:lvlJc w:val="left"/>
      <w:pPr>
        <w:ind w:left="661" w:hanging="542"/>
        <w:jc w:val="left"/>
      </w:pPr>
      <w:rPr>
        <w:rFonts w:hint="default" w:ascii="Times New Roman" w:hAnsi="Times New Roman" w:eastAsia="Times New Roman" w:cs="Times New Roman"/>
        <w:b/>
        <w:bCs/>
        <w:w w:val="100"/>
        <w:sz w:val="24"/>
        <w:szCs w:val="24"/>
        <w:lang w:val="es-ES" w:eastAsia="es-ES" w:bidi="es-ES"/>
      </w:rPr>
    </w:lvl>
    <w:lvl w:ilvl="3">
      <w:start w:val="0"/>
      <w:numFmt w:val="bullet"/>
      <w:lvlText w:val="•"/>
      <w:lvlJc w:val="left"/>
      <w:pPr>
        <w:ind w:left="2802" w:hanging="542"/>
      </w:pPr>
      <w:rPr>
        <w:rFonts w:hint="default"/>
        <w:lang w:val="es-ES" w:eastAsia="es-ES" w:bidi="es-ES"/>
      </w:rPr>
    </w:lvl>
    <w:lvl w:ilvl="4">
      <w:start w:val="0"/>
      <w:numFmt w:val="bullet"/>
      <w:lvlText w:val="•"/>
      <w:lvlJc w:val="left"/>
      <w:pPr>
        <w:ind w:left="3873" w:hanging="542"/>
      </w:pPr>
      <w:rPr>
        <w:rFonts w:hint="default"/>
        <w:lang w:val="es-ES" w:eastAsia="es-ES" w:bidi="es-ES"/>
      </w:rPr>
    </w:lvl>
    <w:lvl w:ilvl="5">
      <w:start w:val="0"/>
      <w:numFmt w:val="bullet"/>
      <w:lvlText w:val="•"/>
      <w:lvlJc w:val="left"/>
      <w:pPr>
        <w:ind w:left="4944" w:hanging="542"/>
      </w:pPr>
      <w:rPr>
        <w:rFonts w:hint="default"/>
        <w:lang w:val="es-ES" w:eastAsia="es-ES" w:bidi="es-ES"/>
      </w:rPr>
    </w:lvl>
    <w:lvl w:ilvl="6">
      <w:start w:val="0"/>
      <w:numFmt w:val="bullet"/>
      <w:lvlText w:val="•"/>
      <w:lvlJc w:val="left"/>
      <w:pPr>
        <w:ind w:left="6015" w:hanging="542"/>
      </w:pPr>
      <w:rPr>
        <w:rFonts w:hint="default"/>
        <w:lang w:val="es-ES" w:eastAsia="es-ES" w:bidi="es-ES"/>
      </w:rPr>
    </w:lvl>
    <w:lvl w:ilvl="7">
      <w:start w:val="0"/>
      <w:numFmt w:val="bullet"/>
      <w:lvlText w:val="•"/>
      <w:lvlJc w:val="left"/>
      <w:pPr>
        <w:ind w:left="7086" w:hanging="542"/>
      </w:pPr>
      <w:rPr>
        <w:rFonts w:hint="default"/>
        <w:lang w:val="es-ES" w:eastAsia="es-ES" w:bidi="es-ES"/>
      </w:rPr>
    </w:lvl>
    <w:lvl w:ilvl="8">
      <w:start w:val="0"/>
      <w:numFmt w:val="bullet"/>
      <w:lvlText w:val="•"/>
      <w:lvlJc w:val="left"/>
      <w:pPr>
        <w:ind w:left="8157" w:hanging="542"/>
      </w:pPr>
      <w:rPr>
        <w:rFonts w:hint="default"/>
        <w:lang w:val="es-ES" w:eastAsia="es-ES" w:bidi="es-ES"/>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s-ES" w:bidi="es-ES"/>
    </w:rPr>
  </w:style>
  <w:style w:styleId="TOC1" w:type="paragraph">
    <w:name w:val="TOC 1"/>
    <w:basedOn w:val="Normal"/>
    <w:uiPriority w:val="1"/>
    <w:qFormat/>
    <w:pPr>
      <w:spacing w:before="41"/>
      <w:ind w:left="661" w:hanging="543"/>
    </w:pPr>
    <w:rPr>
      <w:rFonts w:ascii="Times New Roman" w:hAnsi="Times New Roman" w:eastAsia="Times New Roman" w:cs="Times New Roman"/>
      <w:b/>
      <w:bCs/>
      <w:sz w:val="24"/>
      <w:szCs w:val="24"/>
      <w:lang w:val="es-ES" w:eastAsia="es-ES" w:bidi="es-ES"/>
    </w:rPr>
  </w:style>
  <w:style w:styleId="TOC2" w:type="paragraph">
    <w:name w:val="TOC 2"/>
    <w:basedOn w:val="Normal"/>
    <w:uiPriority w:val="1"/>
    <w:qFormat/>
    <w:pPr>
      <w:spacing w:before="41"/>
      <w:ind w:left="484" w:hanging="725"/>
    </w:pPr>
    <w:rPr>
      <w:rFonts w:ascii="Times New Roman" w:hAnsi="Times New Roman" w:eastAsia="Times New Roman" w:cs="Times New Roman"/>
      <w:b/>
      <w:bCs/>
      <w:i/>
      <w:lang w:val="es-ES" w:eastAsia="es-ES" w:bidi="es-ES"/>
    </w:rPr>
  </w:style>
  <w:style w:styleId="BodyText" w:type="paragraph">
    <w:name w:val="Body Text"/>
    <w:basedOn w:val="Normal"/>
    <w:uiPriority w:val="1"/>
    <w:qFormat/>
    <w:pPr/>
    <w:rPr>
      <w:rFonts w:ascii="Times New Roman" w:hAnsi="Times New Roman" w:eastAsia="Times New Roman" w:cs="Times New Roman"/>
      <w:sz w:val="24"/>
      <w:szCs w:val="24"/>
      <w:lang w:val="es-ES" w:eastAsia="es-ES" w:bidi="es-ES"/>
    </w:rPr>
  </w:style>
  <w:style w:styleId="Heading1" w:type="paragraph">
    <w:name w:val="Heading 1"/>
    <w:basedOn w:val="Normal"/>
    <w:uiPriority w:val="1"/>
    <w:qFormat/>
    <w:pPr>
      <w:spacing w:before="82"/>
      <w:ind w:left="119"/>
      <w:outlineLvl w:val="1"/>
    </w:pPr>
    <w:rPr>
      <w:rFonts w:ascii="Times New Roman" w:hAnsi="Times New Roman" w:eastAsia="Times New Roman" w:cs="Times New Roman"/>
      <w:b/>
      <w:bCs/>
      <w:sz w:val="32"/>
      <w:szCs w:val="32"/>
      <w:lang w:val="es-ES" w:eastAsia="es-ES" w:bidi="es-ES"/>
    </w:rPr>
  </w:style>
  <w:style w:styleId="Heading2" w:type="paragraph">
    <w:name w:val="Heading 2"/>
    <w:basedOn w:val="Normal"/>
    <w:uiPriority w:val="1"/>
    <w:qFormat/>
    <w:pPr>
      <w:ind w:left="661" w:hanging="543"/>
      <w:outlineLvl w:val="2"/>
    </w:pPr>
    <w:rPr>
      <w:rFonts w:ascii="Times New Roman" w:hAnsi="Times New Roman" w:eastAsia="Times New Roman" w:cs="Times New Roman"/>
      <w:b/>
      <w:bCs/>
      <w:sz w:val="24"/>
      <w:szCs w:val="24"/>
      <w:lang w:val="es-ES" w:eastAsia="es-ES" w:bidi="es-ES"/>
    </w:rPr>
  </w:style>
  <w:style w:styleId="ListParagraph" w:type="paragraph">
    <w:name w:val="List Paragraph"/>
    <w:basedOn w:val="Normal"/>
    <w:uiPriority w:val="1"/>
    <w:qFormat/>
    <w:pPr>
      <w:spacing w:before="41"/>
      <w:ind w:left="661" w:hanging="543"/>
    </w:pPr>
    <w:rPr>
      <w:rFonts w:ascii="Times New Roman" w:hAnsi="Times New Roman" w:eastAsia="Times New Roman" w:cs="Times New Roman"/>
      <w:lang w:val="es-ES" w:eastAsia="es-ES" w:bidi="es-ES"/>
    </w:rPr>
  </w:style>
  <w:style w:styleId="TableParagraph" w:type="paragraph">
    <w:name w:val="Table Paragraph"/>
    <w:basedOn w:val="Normal"/>
    <w:uiPriority w:val="1"/>
    <w:qFormat/>
    <w:pPr>
      <w:spacing w:before="100"/>
      <w:ind w:left="100"/>
    </w:pPr>
    <w:rPr>
      <w:rFonts w:ascii="Arial" w:hAnsi="Arial" w:eastAsia="Arial" w:cs="Arial"/>
      <w:lang w:val="es-ES" w:eastAsia="es-ES" w:bidi="es-E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pn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hyperlink" Target="http://www.addgene.org/protocols/limiting-" TargetMode="External"/><Relationship Id="rId23" Type="http://schemas.openxmlformats.org/officeDocument/2006/relationships/hyperlink" Target="http://www.thermofisher.com/cl/es/home/life-science/genome-editing/geneart-"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terms:created xsi:type="dcterms:W3CDTF">2020-12-02T22:55:44Z</dcterms:created>
  <dcterms:modified xsi:type="dcterms:W3CDTF">2020-12-02T22:55:44Z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2020-07-09T00:00:00Z</vt:filetime>
  </property>
  <property fmtid="{D5CDD505-2E9C-101B-9397-08002B2CF9AE}" pid="3" name="Creator">
    <vt:lpwstr>Microsoft® Word para Office 365</vt:lpwstr>
  </property>
  <property fmtid="{D5CDD505-2E9C-101B-9397-08002B2CF9AE}" pid="4" name="LastSaved">
    <vt:filetime>2020-12-02T00:00:00Z</vt:filetime>
  </property>
</Properties>
</file>